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rPr>
          <w:rFonts w:hint="eastAsia" w:ascii="黑体" w:hAnsi="宋体" w:eastAsia="黑体"/>
          <w:sz w:val="32"/>
          <w:szCs w:val="32"/>
        </w:rPr>
      </w:pPr>
      <w:bookmarkStart w:id="0" w:name="_Toc196400969"/>
      <w:bookmarkStart w:id="38" w:name="_GoBack"/>
      <w:bookmarkEnd w:id="38"/>
    </w:p>
    <w:p>
      <w:pPr>
        <w:spacing w:line="360" w:lineRule="auto"/>
        <w:rPr>
          <w:rFonts w:hint="eastAsia" w:ascii="黑体" w:hAnsi="宋体" w:eastAsia="黑体"/>
          <w:sz w:val="32"/>
          <w:szCs w:val="32"/>
        </w:rPr>
      </w:pPr>
    </w:p>
    <w:p>
      <w:pPr>
        <w:spacing w:line="360" w:lineRule="auto"/>
        <w:rPr>
          <w:rFonts w:hint="eastAsia" w:ascii="黑体" w:hAnsi="宋体" w:eastAsia="黑体"/>
          <w:sz w:val="32"/>
          <w:szCs w:val="32"/>
        </w:rPr>
      </w:pPr>
      <w:r>
        <w:rPr>
          <w:rFonts w:hint="eastAsia" w:ascii="黑体" w:hAnsi="宋体" w:eastAsia="黑体"/>
          <w:sz w:val="32"/>
          <w:szCs w:val="32"/>
        </w:rPr>
        <w:t>第四部分</w:t>
      </w:r>
    </w:p>
    <w:p>
      <w:pPr>
        <w:spacing w:line="360" w:lineRule="auto"/>
        <w:rPr>
          <w:rFonts w:hint="eastAsia" w:ascii="黑体" w:hAnsi="宋体" w:eastAsia="黑体"/>
          <w:sz w:val="32"/>
          <w:szCs w:val="32"/>
          <w:u w:val="single"/>
        </w:rPr>
      </w:pPr>
    </w:p>
    <w:p>
      <w:pPr>
        <w:spacing w:line="360" w:lineRule="auto"/>
        <w:rPr>
          <w:rFonts w:hint="eastAsia" w:ascii="黑体" w:hAnsi="宋体" w:eastAsia="黑体"/>
          <w:sz w:val="32"/>
          <w:szCs w:val="32"/>
          <w:u w:val="single"/>
        </w:rPr>
      </w:pPr>
    </w:p>
    <w:p>
      <w:pPr>
        <w:spacing w:line="360" w:lineRule="auto"/>
        <w:rPr>
          <w:rFonts w:hint="eastAsia" w:ascii="黑体" w:hAnsi="宋体" w:eastAsia="黑体"/>
          <w:sz w:val="32"/>
          <w:szCs w:val="32"/>
          <w:u w:val="single"/>
        </w:rPr>
      </w:pPr>
    </w:p>
    <w:p>
      <w:pPr>
        <w:spacing w:line="360" w:lineRule="auto"/>
        <w:jc w:val="center"/>
        <w:rPr>
          <w:rFonts w:hint="eastAsia" w:ascii="黑体" w:eastAsia="黑体"/>
          <w:sz w:val="32"/>
          <w:szCs w:val="32"/>
        </w:rPr>
      </w:pPr>
      <w:ins w:id="0" w:author="user" w:date="2012-03-19T15:36:00Z">
        <w:r>
          <w:rPr>
            <w:rFonts w:hint="eastAsia" w:ascii="黑体" w:eastAsia="黑体"/>
            <w:sz w:val="32"/>
            <w:szCs w:val="32"/>
            <w:u w:val="single"/>
          </w:rPr>
          <w:t xml:space="preserve">      </w:t>
        </w:r>
      </w:ins>
      <w:del w:id="1" w:author="user" w:date="2012-03-19T15:36:00Z">
        <w:r>
          <w:rPr>
            <w:rFonts w:hint="eastAsia" w:ascii="黑体" w:eastAsia="黑体"/>
            <w:sz w:val="32"/>
            <w:szCs w:val="32"/>
            <w:u w:val="single"/>
          </w:rPr>
          <w:delText>_____</w:delText>
        </w:r>
      </w:del>
      <w:r>
        <w:rPr>
          <w:rFonts w:hint="eastAsia" w:ascii="黑体" w:eastAsia="黑体"/>
          <w:sz w:val="32"/>
          <w:szCs w:val="32"/>
        </w:rPr>
        <w:t>企业年金计划投资管理合同指引</w:t>
      </w:r>
    </w:p>
    <w:p>
      <w:pPr>
        <w:spacing w:line="360" w:lineRule="auto"/>
        <w:jc w:val="center"/>
        <w:rPr>
          <w:rFonts w:hint="eastAsia" w:ascii="宋体" w:hAnsi="宋体"/>
          <w:sz w:val="32"/>
          <w:szCs w:val="32"/>
        </w:rPr>
      </w:pPr>
    </w:p>
    <w:p>
      <w:pPr>
        <w:spacing w:line="360" w:lineRule="auto"/>
        <w:jc w:val="center"/>
        <w:rPr>
          <w:rFonts w:hint="eastAsia" w:ascii="宋体" w:hAnsi="宋体"/>
          <w:sz w:val="32"/>
          <w:szCs w:val="32"/>
        </w:rPr>
      </w:pPr>
    </w:p>
    <w:p>
      <w:pPr>
        <w:spacing w:line="360" w:lineRule="auto"/>
        <w:jc w:val="center"/>
        <w:rPr>
          <w:rFonts w:hint="eastAsia" w:ascii="宋体" w:hAnsi="宋体"/>
          <w:sz w:val="32"/>
          <w:szCs w:val="32"/>
        </w:rPr>
      </w:pPr>
    </w:p>
    <w:p>
      <w:pPr>
        <w:spacing w:line="360" w:lineRule="auto"/>
        <w:jc w:val="center"/>
        <w:rPr>
          <w:rFonts w:hint="eastAsia" w:ascii="宋体" w:hAnsi="宋体"/>
          <w:sz w:val="32"/>
          <w:szCs w:val="32"/>
        </w:rPr>
      </w:pPr>
    </w:p>
    <w:p>
      <w:pPr>
        <w:spacing w:line="360" w:lineRule="auto"/>
        <w:rPr>
          <w:rFonts w:hint="eastAsia" w:ascii="宋体" w:hAnsi="宋体"/>
          <w:sz w:val="28"/>
          <w:szCs w:val="28"/>
        </w:rPr>
      </w:pPr>
    </w:p>
    <w:p>
      <w:pPr>
        <w:spacing w:line="360" w:lineRule="auto"/>
        <w:rPr>
          <w:rFonts w:hint="eastAsia" w:ascii="仿宋_GB2312" w:hAnsi="宋体" w:eastAsia="仿宋_GB2312"/>
          <w:sz w:val="28"/>
          <w:szCs w:val="28"/>
        </w:rPr>
      </w:pPr>
      <w:r>
        <w:rPr>
          <w:rFonts w:hint="eastAsia" w:ascii="仿宋_GB2312" w:hAnsi="宋体" w:eastAsia="仿宋_GB2312"/>
          <w:sz w:val="28"/>
          <w:szCs w:val="28"/>
        </w:rPr>
        <w:t>合同编号：</w:t>
      </w:r>
    </w:p>
    <w:p>
      <w:pPr>
        <w:spacing w:line="360" w:lineRule="auto"/>
        <w:rPr>
          <w:rFonts w:hint="eastAsia" w:ascii="仿宋_GB2312" w:hAnsi="宋体" w:eastAsia="仿宋_GB2312"/>
          <w:sz w:val="28"/>
          <w:szCs w:val="28"/>
        </w:rPr>
      </w:pPr>
      <w:r>
        <w:rPr>
          <w:rFonts w:hint="eastAsia" w:ascii="仿宋_GB2312" w:hAnsi="宋体" w:eastAsia="仿宋_GB2312"/>
          <w:sz w:val="28"/>
          <w:szCs w:val="28"/>
        </w:rPr>
        <w:t>受 托 人：</w:t>
      </w:r>
    </w:p>
    <w:p>
      <w:pPr>
        <w:spacing w:line="360" w:lineRule="auto"/>
        <w:rPr>
          <w:rFonts w:hint="eastAsia" w:ascii="仿宋_GB2312" w:hAnsi="宋体" w:eastAsia="仿宋_GB2312"/>
          <w:sz w:val="28"/>
          <w:szCs w:val="28"/>
        </w:rPr>
      </w:pPr>
      <w:r>
        <w:rPr>
          <w:rFonts w:hint="eastAsia" w:ascii="仿宋_GB2312" w:hAnsi="宋体" w:eastAsia="仿宋_GB2312"/>
          <w:sz w:val="28"/>
          <w:szCs w:val="28"/>
        </w:rPr>
        <w:t>托 管 人：</w:t>
      </w:r>
    </w:p>
    <w:p>
      <w:pPr>
        <w:spacing w:line="360" w:lineRule="auto"/>
        <w:rPr>
          <w:rFonts w:hint="eastAsia" w:ascii="仿宋_GB2312" w:eastAsia="仿宋_GB2312"/>
          <w:sz w:val="28"/>
          <w:szCs w:val="28"/>
        </w:rPr>
      </w:pPr>
      <w:r>
        <w:rPr>
          <w:rFonts w:hint="eastAsia" w:ascii="仿宋_GB2312" w:eastAsia="仿宋_GB2312"/>
          <w:sz w:val="28"/>
          <w:szCs w:val="28"/>
        </w:rPr>
        <w:t>签署时间：</w:t>
      </w:r>
    </w:p>
    <w:p>
      <w:pPr>
        <w:spacing w:line="360" w:lineRule="auto"/>
        <w:rPr>
          <w:ins w:id="2" w:author="user" w:date="2012-03-19T17:07:00Z"/>
          <w:rFonts w:hint="eastAsia" w:ascii="仿宋_GB2312" w:eastAsia="仿宋_GB2312"/>
          <w:sz w:val="32"/>
          <w:szCs w:val="32"/>
        </w:rPr>
      </w:pPr>
      <w:r>
        <w:rPr>
          <w:rFonts w:ascii="仿宋_GB2312" w:eastAsia="仿宋_GB2312"/>
          <w:sz w:val="32"/>
          <w:szCs w:val="32"/>
        </w:rPr>
        <w:br w:type="page"/>
      </w:r>
      <w:bookmarkEnd w:id="0"/>
    </w:p>
    <w:p>
      <w:pPr>
        <w:numPr>
          <w:ins w:id="3" w:author="user" w:date="2012-03-19T17:07:00Z"/>
        </w:numPr>
        <w:spacing w:line="360" w:lineRule="auto"/>
        <w:rPr>
          <w:rFonts w:hint="eastAsia" w:ascii="仿宋_GB2312" w:eastAsia="仿宋_GB2312"/>
          <w:sz w:val="28"/>
          <w:szCs w:val="28"/>
          <w:shd w:val="clear" w:color="auto" w:fill="FFFFFF"/>
        </w:rPr>
      </w:pPr>
      <w:r>
        <w:rPr>
          <w:rFonts w:hint="eastAsia" w:ascii="仿宋_GB2312" w:eastAsia="仿宋_GB2312"/>
          <w:sz w:val="28"/>
          <w:szCs w:val="28"/>
          <w:shd w:val="clear" w:color="auto" w:fill="FFFFFF"/>
        </w:rPr>
        <w:t>甲    方：</w:t>
      </w:r>
    </w:p>
    <w:p>
      <w:pPr>
        <w:spacing w:line="360" w:lineRule="auto"/>
        <w:rPr>
          <w:rFonts w:hint="eastAsia" w:ascii="仿宋_GB2312" w:eastAsia="仿宋_GB2312"/>
          <w:sz w:val="28"/>
          <w:szCs w:val="28"/>
          <w:shd w:val="clear" w:color="auto" w:fill="FFFFFF"/>
        </w:rPr>
      </w:pPr>
      <w:r>
        <w:rPr>
          <w:rFonts w:hint="eastAsia" w:ascii="仿宋_GB2312" w:eastAsia="仿宋_GB2312"/>
          <w:sz w:val="28"/>
          <w:szCs w:val="28"/>
          <w:shd w:val="clear" w:color="auto" w:fill="FFFFFF"/>
        </w:rPr>
        <w:t xml:space="preserve">联系地址： </w:t>
      </w:r>
    </w:p>
    <w:p>
      <w:pPr>
        <w:spacing w:line="360" w:lineRule="auto"/>
        <w:rPr>
          <w:rFonts w:hint="eastAsia" w:ascii="仿宋_GB2312" w:eastAsia="仿宋_GB2312"/>
          <w:sz w:val="28"/>
          <w:szCs w:val="28"/>
          <w:shd w:val="clear" w:color="auto" w:fill="FFFFFF"/>
        </w:rPr>
      </w:pPr>
      <w:r>
        <w:rPr>
          <w:rFonts w:hint="eastAsia" w:ascii="仿宋_GB2312" w:eastAsia="仿宋_GB2312"/>
          <w:sz w:val="28"/>
          <w:szCs w:val="28"/>
          <w:shd w:val="clear" w:color="auto" w:fill="FFFFFF"/>
        </w:rPr>
        <w:t>邮政编码：</w:t>
      </w:r>
    </w:p>
    <w:p>
      <w:pPr>
        <w:spacing w:line="360" w:lineRule="auto"/>
        <w:rPr>
          <w:rFonts w:hint="eastAsia" w:ascii="仿宋_GB2312" w:eastAsia="仿宋_GB2312"/>
          <w:sz w:val="28"/>
          <w:szCs w:val="28"/>
          <w:shd w:val="clear" w:color="auto" w:fill="FFFFFF"/>
        </w:rPr>
      </w:pPr>
      <w:r>
        <w:rPr>
          <w:rFonts w:hint="eastAsia" w:ascii="仿宋_GB2312" w:eastAsia="仿宋_GB2312"/>
          <w:sz w:val="28"/>
          <w:szCs w:val="28"/>
          <w:shd w:val="clear" w:color="auto" w:fill="FFFFFF"/>
        </w:rPr>
        <w:t xml:space="preserve">电    话： </w:t>
      </w:r>
    </w:p>
    <w:p>
      <w:pPr>
        <w:spacing w:line="360" w:lineRule="auto"/>
        <w:rPr>
          <w:rFonts w:hint="eastAsia" w:ascii="仿宋_GB2312" w:eastAsia="仿宋_GB2312"/>
          <w:sz w:val="28"/>
          <w:szCs w:val="28"/>
          <w:shd w:val="clear" w:color="auto" w:fill="FFFFFF"/>
        </w:rPr>
      </w:pPr>
      <w:r>
        <w:rPr>
          <w:rFonts w:hint="eastAsia" w:ascii="仿宋_GB2312" w:eastAsia="仿宋_GB2312"/>
          <w:sz w:val="28"/>
          <w:szCs w:val="28"/>
          <w:shd w:val="clear" w:color="auto" w:fill="FFFFFF"/>
        </w:rPr>
        <w:t>传    真：</w:t>
      </w:r>
    </w:p>
    <w:p>
      <w:pPr>
        <w:spacing w:line="360" w:lineRule="auto"/>
        <w:rPr>
          <w:rFonts w:hint="eastAsia" w:ascii="仿宋_GB2312" w:eastAsia="仿宋_GB2312"/>
          <w:sz w:val="28"/>
          <w:szCs w:val="28"/>
          <w:shd w:val="clear" w:color="auto" w:fill="FFFFFF"/>
        </w:rPr>
      </w:pPr>
      <w:r>
        <w:rPr>
          <w:rFonts w:hint="eastAsia" w:ascii="仿宋_GB2312" w:eastAsia="仿宋_GB2312"/>
          <w:sz w:val="28"/>
          <w:szCs w:val="28"/>
          <w:shd w:val="clear" w:color="auto" w:fill="FFFFFF"/>
        </w:rPr>
        <w:t>法定代表人：</w:t>
      </w:r>
    </w:p>
    <w:p>
      <w:pPr>
        <w:spacing w:line="360" w:lineRule="auto"/>
        <w:rPr>
          <w:rFonts w:hint="eastAsia" w:ascii="仿宋_GB2312" w:eastAsia="仿宋_GB2312"/>
          <w:sz w:val="28"/>
          <w:szCs w:val="28"/>
          <w:shd w:val="clear" w:color="auto" w:fill="FFFFFF"/>
        </w:rPr>
      </w:pPr>
      <w:r>
        <w:rPr>
          <w:rFonts w:hint="eastAsia" w:ascii="仿宋_GB2312" w:eastAsia="仿宋_GB2312"/>
          <w:sz w:val="28"/>
          <w:szCs w:val="28"/>
          <w:shd w:val="clear" w:color="auto" w:fill="FFFFFF"/>
        </w:rPr>
        <w:t xml:space="preserve">企业年金基金管理机构资格证书编号： </w:t>
      </w:r>
    </w:p>
    <w:p>
      <w:pPr>
        <w:spacing w:line="360" w:lineRule="auto"/>
        <w:rPr>
          <w:rFonts w:hint="eastAsia" w:ascii="仿宋_GB2312" w:eastAsia="仿宋_GB2312"/>
          <w:sz w:val="28"/>
          <w:szCs w:val="28"/>
          <w:shd w:val="clear" w:color="auto" w:fill="FFFFFF"/>
        </w:rPr>
      </w:pPr>
    </w:p>
    <w:p>
      <w:pPr>
        <w:spacing w:line="360" w:lineRule="auto"/>
        <w:rPr>
          <w:rFonts w:hint="eastAsia" w:ascii="仿宋_GB2312" w:eastAsia="仿宋_GB2312"/>
          <w:sz w:val="28"/>
          <w:szCs w:val="28"/>
          <w:shd w:val="clear" w:color="auto" w:fill="FFFFFF"/>
        </w:rPr>
      </w:pPr>
      <w:r>
        <w:rPr>
          <w:rFonts w:hint="eastAsia" w:ascii="仿宋_GB2312" w:eastAsia="仿宋_GB2312"/>
          <w:sz w:val="28"/>
          <w:szCs w:val="28"/>
          <w:shd w:val="clear" w:color="auto" w:fill="FFFFFF"/>
        </w:rPr>
        <w:t>乙    方：</w:t>
      </w:r>
    </w:p>
    <w:p>
      <w:pPr>
        <w:spacing w:line="360" w:lineRule="auto"/>
        <w:rPr>
          <w:rFonts w:hint="eastAsia" w:ascii="仿宋_GB2312" w:eastAsia="仿宋_GB2312"/>
          <w:sz w:val="28"/>
          <w:szCs w:val="28"/>
          <w:shd w:val="clear" w:color="auto" w:fill="FFFFFF"/>
        </w:rPr>
      </w:pPr>
      <w:r>
        <w:rPr>
          <w:rFonts w:hint="eastAsia" w:ascii="仿宋_GB2312" w:eastAsia="仿宋_GB2312"/>
          <w:sz w:val="28"/>
          <w:szCs w:val="28"/>
          <w:shd w:val="clear" w:color="auto" w:fill="FFFFFF"/>
        </w:rPr>
        <w:t xml:space="preserve">联系地址： </w:t>
      </w:r>
    </w:p>
    <w:p>
      <w:pPr>
        <w:spacing w:line="360" w:lineRule="auto"/>
        <w:rPr>
          <w:rFonts w:hint="eastAsia" w:ascii="仿宋_GB2312" w:eastAsia="仿宋_GB2312"/>
          <w:sz w:val="28"/>
          <w:szCs w:val="28"/>
          <w:shd w:val="clear" w:color="auto" w:fill="FFFFFF"/>
        </w:rPr>
      </w:pPr>
      <w:r>
        <w:rPr>
          <w:rFonts w:hint="eastAsia" w:ascii="仿宋_GB2312" w:eastAsia="仿宋_GB2312"/>
          <w:sz w:val="28"/>
          <w:szCs w:val="28"/>
          <w:shd w:val="clear" w:color="auto" w:fill="FFFFFF"/>
        </w:rPr>
        <w:t>邮政编码：</w:t>
      </w:r>
    </w:p>
    <w:p>
      <w:pPr>
        <w:spacing w:line="360" w:lineRule="auto"/>
        <w:rPr>
          <w:rFonts w:hint="eastAsia" w:ascii="仿宋_GB2312" w:eastAsia="仿宋_GB2312"/>
          <w:sz w:val="28"/>
          <w:szCs w:val="28"/>
          <w:shd w:val="clear" w:color="auto" w:fill="FFFFFF"/>
        </w:rPr>
      </w:pPr>
      <w:r>
        <w:rPr>
          <w:rFonts w:hint="eastAsia" w:ascii="仿宋_GB2312" w:eastAsia="仿宋_GB2312"/>
          <w:sz w:val="28"/>
          <w:szCs w:val="28"/>
          <w:shd w:val="clear" w:color="auto" w:fill="FFFFFF"/>
        </w:rPr>
        <w:t>电    话：</w:t>
      </w:r>
    </w:p>
    <w:p>
      <w:pPr>
        <w:spacing w:line="360" w:lineRule="auto"/>
        <w:rPr>
          <w:rFonts w:hint="eastAsia" w:ascii="仿宋_GB2312" w:eastAsia="仿宋_GB2312"/>
          <w:sz w:val="28"/>
          <w:szCs w:val="28"/>
          <w:shd w:val="clear" w:color="auto" w:fill="FFFFFF"/>
        </w:rPr>
      </w:pPr>
      <w:r>
        <w:rPr>
          <w:rFonts w:hint="eastAsia" w:ascii="仿宋_GB2312" w:eastAsia="仿宋_GB2312"/>
          <w:sz w:val="28"/>
          <w:szCs w:val="28"/>
          <w:shd w:val="clear" w:color="auto" w:fill="FFFFFF"/>
        </w:rPr>
        <w:t xml:space="preserve">传    真： </w:t>
      </w:r>
    </w:p>
    <w:p>
      <w:pPr>
        <w:spacing w:line="360" w:lineRule="auto"/>
        <w:rPr>
          <w:rFonts w:hint="eastAsia" w:ascii="仿宋_GB2312" w:eastAsia="仿宋_GB2312"/>
          <w:sz w:val="28"/>
          <w:szCs w:val="28"/>
          <w:shd w:val="clear" w:color="auto" w:fill="FFFFFF"/>
        </w:rPr>
      </w:pPr>
      <w:r>
        <w:rPr>
          <w:rFonts w:hint="eastAsia" w:ascii="仿宋_GB2312" w:eastAsia="仿宋_GB2312"/>
          <w:sz w:val="28"/>
          <w:szCs w:val="28"/>
          <w:shd w:val="clear" w:color="auto" w:fill="FFFFFF"/>
        </w:rPr>
        <w:t>法定代表人：</w:t>
      </w:r>
    </w:p>
    <w:p>
      <w:pPr>
        <w:spacing w:line="360" w:lineRule="auto"/>
        <w:rPr>
          <w:rFonts w:hint="eastAsia" w:ascii="仿宋_GB2312" w:eastAsia="仿宋_GB2312"/>
          <w:sz w:val="28"/>
          <w:szCs w:val="28"/>
          <w:shd w:val="clear" w:color="auto" w:fill="FFFFFF"/>
        </w:rPr>
      </w:pPr>
      <w:r>
        <w:rPr>
          <w:rFonts w:hint="eastAsia" w:ascii="仿宋_GB2312" w:eastAsia="仿宋_GB2312"/>
          <w:sz w:val="28"/>
          <w:szCs w:val="28"/>
          <w:shd w:val="clear" w:color="auto" w:fill="FFFFFF"/>
        </w:rPr>
        <w:t>企业年金基金管理机构资格证书编号：</w:t>
      </w:r>
    </w:p>
    <w:p>
      <w:pPr>
        <w:spacing w:line="360" w:lineRule="auto"/>
        <w:rPr>
          <w:rFonts w:hint="eastAsia" w:ascii="仿宋_GB2312" w:eastAsia="仿宋_GB2312"/>
          <w:sz w:val="28"/>
          <w:szCs w:val="28"/>
          <w:shd w:val="clear" w:color="auto" w:fill="FFFFFF"/>
        </w:rPr>
      </w:pPr>
    </w:p>
    <w:p>
      <w:pPr>
        <w:pStyle w:val="13"/>
        <w:rPr>
          <w:rStyle w:val="19"/>
          <w:rFonts w:hint="eastAsia"/>
          <w:color w:val="auto"/>
          <w:u w:val="none"/>
        </w:rPr>
      </w:pPr>
      <w:r>
        <w:rPr>
          <w:rFonts w:hint="eastAsia"/>
          <w:shd w:val="clear" w:color="auto" w:fill="FFFFFF"/>
        </w:rPr>
        <w:br w:type="page"/>
      </w:r>
      <w:r>
        <w:rPr>
          <w:rStyle w:val="19"/>
          <w:rFonts w:hint="eastAsia"/>
          <w:color w:val="auto"/>
          <w:u w:val="none"/>
        </w:rPr>
        <w:t>目    录</w:t>
      </w:r>
    </w:p>
    <w:p>
      <w:pPr>
        <w:pStyle w:val="13"/>
        <w:rPr>
          <w:rFonts w:ascii="Times New Roman" w:eastAsia="宋体"/>
          <w:b w:val="0"/>
          <w:sz w:val="24"/>
          <w:szCs w:val="24"/>
        </w:rPr>
      </w:pPr>
      <w:r>
        <w:rPr>
          <w:rFonts w:hint="eastAsia"/>
          <w:sz w:val="24"/>
          <w:szCs w:val="24"/>
        </w:rPr>
        <w:fldChar w:fldCharType="begin"/>
      </w:r>
      <w:r>
        <w:rPr>
          <w:rStyle w:val="19"/>
          <w:rFonts w:hint="eastAsia"/>
          <w:sz w:val="24"/>
          <w:szCs w:val="24"/>
        </w:rPr>
        <w:instrText xml:space="preserve"> TOC \o "1-3" \h \z \u </w:instrText>
      </w:r>
      <w:r>
        <w:rPr>
          <w:rFonts w:hint="eastAsia"/>
          <w:sz w:val="24"/>
          <w:szCs w:val="24"/>
        </w:rPr>
        <w:fldChar w:fldCharType="separate"/>
      </w:r>
      <w:r>
        <w:rPr>
          <w:sz w:val="24"/>
          <w:szCs w:val="24"/>
        </w:rPr>
        <w:fldChar w:fldCharType="begin"/>
      </w:r>
      <w:r>
        <w:rPr>
          <w:rStyle w:val="19"/>
          <w:sz w:val="24"/>
          <w:szCs w:val="24"/>
        </w:rPr>
        <w:instrText xml:space="preserve"> </w:instrText>
      </w:r>
      <w:r>
        <w:rPr>
          <w:sz w:val="24"/>
          <w:szCs w:val="24"/>
        </w:rPr>
        <w:instrText xml:space="preserve">HYPERLINK \l "_Toc319934279"</w:instrText>
      </w:r>
      <w:r>
        <w:rPr>
          <w:rStyle w:val="19"/>
          <w:sz w:val="24"/>
          <w:szCs w:val="24"/>
        </w:rPr>
        <w:instrText xml:space="preserve"> </w:instrText>
      </w:r>
      <w:r>
        <w:rPr>
          <w:sz w:val="24"/>
          <w:szCs w:val="24"/>
        </w:rPr>
        <w:fldChar w:fldCharType="separate"/>
      </w:r>
      <w:r>
        <w:rPr>
          <w:rStyle w:val="19"/>
          <w:rFonts w:hint="eastAsia" w:hAnsi="黑体"/>
          <w:sz w:val="24"/>
          <w:szCs w:val="24"/>
          <w:shd w:val="clear" w:color="auto" w:fill="FFFFFF"/>
        </w:rPr>
        <w:t>前</w:t>
      </w:r>
      <w:r>
        <w:rPr>
          <w:rStyle w:val="19"/>
          <w:rFonts w:hAnsi="黑体"/>
          <w:sz w:val="24"/>
          <w:szCs w:val="24"/>
          <w:shd w:val="clear" w:color="auto" w:fill="FFFFFF"/>
        </w:rPr>
        <w:t xml:space="preserve">   </w:t>
      </w:r>
      <w:r>
        <w:rPr>
          <w:rStyle w:val="19"/>
          <w:rFonts w:hint="eastAsia" w:hAnsi="黑体"/>
          <w:sz w:val="24"/>
          <w:szCs w:val="24"/>
          <w:shd w:val="clear" w:color="auto" w:fill="FFFFFF"/>
        </w:rPr>
        <w:t>言</w:t>
      </w:r>
      <w:r>
        <w:rPr>
          <w:sz w:val="24"/>
          <w:szCs w:val="24"/>
        </w:rPr>
        <w:tab/>
      </w:r>
      <w:r>
        <w:rPr>
          <w:sz w:val="24"/>
          <w:szCs w:val="24"/>
        </w:rPr>
        <w:fldChar w:fldCharType="begin"/>
      </w:r>
      <w:r>
        <w:rPr>
          <w:sz w:val="24"/>
          <w:szCs w:val="24"/>
        </w:rPr>
        <w:instrText xml:space="preserve"> PAGEREF _Toc319934279 \h </w:instrText>
      </w:r>
      <w:r>
        <w:rPr>
          <w:sz w:val="24"/>
          <w:szCs w:val="24"/>
        </w:rPr>
        <w:fldChar w:fldCharType="separate"/>
      </w:r>
      <w:r>
        <w:rPr>
          <w:sz w:val="24"/>
          <w:szCs w:val="24"/>
        </w:rPr>
        <w:t>1</w:t>
      </w:r>
      <w:r>
        <w:rPr>
          <w:sz w:val="24"/>
          <w:szCs w:val="24"/>
        </w:rPr>
        <w:fldChar w:fldCharType="end"/>
      </w:r>
      <w:r>
        <w:rPr>
          <w:sz w:val="24"/>
          <w:szCs w:val="24"/>
        </w:rPr>
        <w:fldChar w:fldCharType="end"/>
      </w:r>
    </w:p>
    <w:p>
      <w:pPr>
        <w:pStyle w:val="13"/>
        <w:rPr>
          <w:rFonts w:ascii="Times New Roman" w:eastAsia="宋体"/>
          <w:b w:val="0"/>
          <w:sz w:val="24"/>
          <w:szCs w:val="24"/>
        </w:rPr>
      </w:pPr>
      <w:r>
        <w:rPr>
          <w:sz w:val="24"/>
          <w:szCs w:val="24"/>
        </w:rPr>
        <w:fldChar w:fldCharType="begin"/>
      </w:r>
      <w:r>
        <w:rPr>
          <w:rStyle w:val="19"/>
          <w:sz w:val="24"/>
          <w:szCs w:val="24"/>
        </w:rPr>
        <w:instrText xml:space="preserve"> </w:instrText>
      </w:r>
      <w:r>
        <w:rPr>
          <w:sz w:val="24"/>
          <w:szCs w:val="24"/>
        </w:rPr>
        <w:instrText xml:space="preserve">HYPERLINK \l "_Toc319934280"</w:instrText>
      </w:r>
      <w:r>
        <w:rPr>
          <w:rStyle w:val="19"/>
          <w:sz w:val="24"/>
          <w:szCs w:val="24"/>
        </w:rPr>
        <w:instrText xml:space="preserve"> </w:instrText>
      </w:r>
      <w:r>
        <w:rPr>
          <w:sz w:val="24"/>
          <w:szCs w:val="24"/>
        </w:rPr>
        <w:fldChar w:fldCharType="separate"/>
      </w:r>
      <w:r>
        <w:rPr>
          <w:rStyle w:val="19"/>
          <w:rFonts w:hint="eastAsia" w:hAnsi="黑体"/>
          <w:sz w:val="24"/>
          <w:szCs w:val="24"/>
          <w:shd w:val="clear" w:color="auto" w:fill="FFFFFF"/>
        </w:rPr>
        <w:t>第一章　定义</w:t>
      </w:r>
      <w:r>
        <w:rPr>
          <w:sz w:val="24"/>
          <w:szCs w:val="24"/>
        </w:rPr>
        <w:tab/>
      </w:r>
      <w:r>
        <w:rPr>
          <w:sz w:val="24"/>
          <w:szCs w:val="24"/>
        </w:rPr>
        <w:fldChar w:fldCharType="begin"/>
      </w:r>
      <w:r>
        <w:rPr>
          <w:sz w:val="24"/>
          <w:szCs w:val="24"/>
        </w:rPr>
        <w:instrText xml:space="preserve"> PAGEREF _Toc319934280 \h </w:instrText>
      </w:r>
      <w:r>
        <w:rPr>
          <w:sz w:val="24"/>
          <w:szCs w:val="24"/>
        </w:rPr>
        <w:fldChar w:fldCharType="separate"/>
      </w:r>
      <w:r>
        <w:rPr>
          <w:sz w:val="24"/>
          <w:szCs w:val="24"/>
        </w:rPr>
        <w:t>1</w:t>
      </w:r>
      <w:r>
        <w:rPr>
          <w:sz w:val="24"/>
          <w:szCs w:val="24"/>
        </w:rPr>
        <w:fldChar w:fldCharType="end"/>
      </w:r>
      <w:r>
        <w:rPr>
          <w:sz w:val="24"/>
          <w:szCs w:val="24"/>
        </w:rPr>
        <w:fldChar w:fldCharType="end"/>
      </w:r>
    </w:p>
    <w:p>
      <w:pPr>
        <w:pStyle w:val="13"/>
        <w:rPr>
          <w:rFonts w:ascii="Times New Roman" w:eastAsia="宋体"/>
          <w:b w:val="0"/>
          <w:sz w:val="24"/>
          <w:szCs w:val="24"/>
        </w:rPr>
      </w:pPr>
      <w:r>
        <w:rPr>
          <w:sz w:val="24"/>
          <w:szCs w:val="24"/>
        </w:rPr>
        <w:fldChar w:fldCharType="begin"/>
      </w:r>
      <w:r>
        <w:rPr>
          <w:rStyle w:val="19"/>
          <w:sz w:val="24"/>
          <w:szCs w:val="24"/>
        </w:rPr>
        <w:instrText xml:space="preserve"> </w:instrText>
      </w:r>
      <w:r>
        <w:rPr>
          <w:sz w:val="24"/>
          <w:szCs w:val="24"/>
        </w:rPr>
        <w:instrText xml:space="preserve">HYPERLINK \l "_Toc319934281"</w:instrText>
      </w:r>
      <w:r>
        <w:rPr>
          <w:rStyle w:val="19"/>
          <w:sz w:val="24"/>
          <w:szCs w:val="24"/>
        </w:rPr>
        <w:instrText xml:space="preserve"> </w:instrText>
      </w:r>
      <w:r>
        <w:rPr>
          <w:sz w:val="24"/>
          <w:szCs w:val="24"/>
        </w:rPr>
        <w:fldChar w:fldCharType="separate"/>
      </w:r>
      <w:r>
        <w:rPr>
          <w:rStyle w:val="19"/>
          <w:rFonts w:hint="eastAsia" w:hAnsi="黑体"/>
          <w:sz w:val="24"/>
          <w:szCs w:val="24"/>
          <w:shd w:val="clear" w:color="auto" w:fill="FFFFFF"/>
        </w:rPr>
        <w:t>第二章</w:t>
      </w:r>
      <w:r>
        <w:rPr>
          <w:rStyle w:val="19"/>
          <w:rFonts w:hAnsi="黑体"/>
          <w:sz w:val="24"/>
          <w:szCs w:val="24"/>
          <w:shd w:val="clear" w:color="auto" w:fill="FFFFFF"/>
        </w:rPr>
        <w:t xml:space="preserve">  </w:t>
      </w:r>
      <w:r>
        <w:rPr>
          <w:rStyle w:val="19"/>
          <w:rFonts w:hint="eastAsia" w:hAnsi="黑体"/>
          <w:sz w:val="24"/>
          <w:szCs w:val="24"/>
        </w:rPr>
        <w:t>声明与承诺</w:t>
      </w:r>
      <w:r>
        <w:rPr>
          <w:sz w:val="24"/>
          <w:szCs w:val="24"/>
        </w:rPr>
        <w:tab/>
      </w:r>
      <w:r>
        <w:rPr>
          <w:sz w:val="24"/>
          <w:szCs w:val="24"/>
        </w:rPr>
        <w:fldChar w:fldCharType="begin"/>
      </w:r>
      <w:r>
        <w:rPr>
          <w:sz w:val="24"/>
          <w:szCs w:val="24"/>
        </w:rPr>
        <w:instrText xml:space="preserve"> PAGEREF _Toc319934281 \h </w:instrText>
      </w:r>
      <w:r>
        <w:rPr>
          <w:sz w:val="24"/>
          <w:szCs w:val="24"/>
        </w:rPr>
        <w:fldChar w:fldCharType="separate"/>
      </w:r>
      <w:r>
        <w:rPr>
          <w:sz w:val="24"/>
          <w:szCs w:val="24"/>
        </w:rPr>
        <w:t>4</w:t>
      </w:r>
      <w:r>
        <w:rPr>
          <w:sz w:val="24"/>
          <w:szCs w:val="24"/>
        </w:rPr>
        <w:fldChar w:fldCharType="end"/>
      </w:r>
      <w:r>
        <w:rPr>
          <w:sz w:val="24"/>
          <w:szCs w:val="24"/>
        </w:rPr>
        <w:fldChar w:fldCharType="end"/>
      </w:r>
    </w:p>
    <w:p>
      <w:pPr>
        <w:pStyle w:val="13"/>
        <w:rPr>
          <w:rFonts w:ascii="Times New Roman" w:eastAsia="宋体"/>
          <w:b w:val="0"/>
          <w:sz w:val="24"/>
          <w:szCs w:val="24"/>
        </w:rPr>
      </w:pPr>
      <w:r>
        <w:rPr>
          <w:sz w:val="24"/>
          <w:szCs w:val="24"/>
        </w:rPr>
        <w:fldChar w:fldCharType="begin"/>
      </w:r>
      <w:r>
        <w:rPr>
          <w:rStyle w:val="19"/>
          <w:sz w:val="24"/>
          <w:szCs w:val="24"/>
        </w:rPr>
        <w:instrText xml:space="preserve"> </w:instrText>
      </w:r>
      <w:r>
        <w:rPr>
          <w:sz w:val="24"/>
          <w:szCs w:val="24"/>
        </w:rPr>
        <w:instrText xml:space="preserve">HYPERLINK \l "_Toc319934282"</w:instrText>
      </w:r>
      <w:r>
        <w:rPr>
          <w:rStyle w:val="19"/>
          <w:sz w:val="24"/>
          <w:szCs w:val="24"/>
        </w:rPr>
        <w:instrText xml:space="preserve"> </w:instrText>
      </w:r>
      <w:r>
        <w:rPr>
          <w:sz w:val="24"/>
          <w:szCs w:val="24"/>
        </w:rPr>
        <w:fldChar w:fldCharType="separate"/>
      </w:r>
      <w:r>
        <w:rPr>
          <w:rStyle w:val="19"/>
          <w:rFonts w:hint="eastAsia" w:hAnsi="黑体"/>
          <w:sz w:val="24"/>
          <w:szCs w:val="24"/>
          <w:shd w:val="clear" w:color="auto" w:fill="FFFFFF"/>
        </w:rPr>
        <w:t>第三章</w:t>
      </w:r>
      <w:r>
        <w:rPr>
          <w:rStyle w:val="19"/>
          <w:rFonts w:hAnsi="黑体"/>
          <w:sz w:val="24"/>
          <w:szCs w:val="24"/>
          <w:shd w:val="clear" w:color="auto" w:fill="FFFFFF"/>
        </w:rPr>
        <w:t xml:space="preserve">  </w:t>
      </w:r>
      <w:r>
        <w:rPr>
          <w:rStyle w:val="19"/>
          <w:rFonts w:hint="eastAsia"/>
          <w:sz w:val="24"/>
          <w:szCs w:val="24"/>
          <w:shd w:val="clear" w:color="auto" w:fill="FFFFFF"/>
        </w:rPr>
        <w:t>权利与义务</w:t>
      </w:r>
      <w:r>
        <w:rPr>
          <w:sz w:val="24"/>
          <w:szCs w:val="24"/>
        </w:rPr>
        <w:tab/>
      </w:r>
      <w:r>
        <w:rPr>
          <w:sz w:val="24"/>
          <w:szCs w:val="24"/>
        </w:rPr>
        <w:fldChar w:fldCharType="begin"/>
      </w:r>
      <w:r>
        <w:rPr>
          <w:sz w:val="24"/>
          <w:szCs w:val="24"/>
        </w:rPr>
        <w:instrText xml:space="preserve"> PAGEREF _Toc319934282 \h </w:instrText>
      </w:r>
      <w:r>
        <w:rPr>
          <w:sz w:val="24"/>
          <w:szCs w:val="24"/>
        </w:rPr>
        <w:fldChar w:fldCharType="separate"/>
      </w:r>
      <w:r>
        <w:rPr>
          <w:sz w:val="24"/>
          <w:szCs w:val="24"/>
        </w:rPr>
        <w:t>7</w:t>
      </w:r>
      <w:r>
        <w:rPr>
          <w:sz w:val="24"/>
          <w:szCs w:val="24"/>
        </w:rPr>
        <w:fldChar w:fldCharType="end"/>
      </w:r>
      <w:r>
        <w:rPr>
          <w:sz w:val="24"/>
          <w:szCs w:val="24"/>
        </w:rPr>
        <w:fldChar w:fldCharType="end"/>
      </w:r>
    </w:p>
    <w:p>
      <w:pPr>
        <w:pStyle w:val="13"/>
        <w:rPr>
          <w:rFonts w:ascii="Times New Roman" w:eastAsia="宋体"/>
          <w:b w:val="0"/>
          <w:sz w:val="24"/>
          <w:szCs w:val="24"/>
        </w:rPr>
      </w:pPr>
      <w:r>
        <w:rPr>
          <w:sz w:val="24"/>
          <w:szCs w:val="24"/>
        </w:rPr>
        <w:fldChar w:fldCharType="begin"/>
      </w:r>
      <w:r>
        <w:rPr>
          <w:rStyle w:val="19"/>
          <w:sz w:val="24"/>
          <w:szCs w:val="24"/>
        </w:rPr>
        <w:instrText xml:space="preserve"> </w:instrText>
      </w:r>
      <w:r>
        <w:rPr>
          <w:sz w:val="24"/>
          <w:szCs w:val="24"/>
        </w:rPr>
        <w:instrText xml:space="preserve">HYPERLINK \l "_Toc319934283"</w:instrText>
      </w:r>
      <w:r>
        <w:rPr>
          <w:rStyle w:val="19"/>
          <w:sz w:val="24"/>
          <w:szCs w:val="24"/>
        </w:rPr>
        <w:instrText xml:space="preserve"> </w:instrText>
      </w:r>
      <w:r>
        <w:rPr>
          <w:sz w:val="24"/>
          <w:szCs w:val="24"/>
        </w:rPr>
        <w:fldChar w:fldCharType="separate"/>
      </w:r>
      <w:r>
        <w:rPr>
          <w:rStyle w:val="19"/>
          <w:rFonts w:hint="eastAsia" w:hAnsi="黑体"/>
          <w:sz w:val="24"/>
          <w:szCs w:val="24"/>
          <w:shd w:val="clear" w:color="auto" w:fill="FFFFFF"/>
        </w:rPr>
        <w:t>第四章</w:t>
      </w:r>
      <w:r>
        <w:rPr>
          <w:rStyle w:val="19"/>
          <w:rFonts w:hAnsi="黑体"/>
          <w:sz w:val="24"/>
          <w:szCs w:val="24"/>
          <w:shd w:val="clear" w:color="auto" w:fill="FFFFFF"/>
        </w:rPr>
        <w:t xml:space="preserve">  </w:t>
      </w:r>
      <w:r>
        <w:rPr>
          <w:rStyle w:val="19"/>
          <w:rFonts w:hint="eastAsia"/>
          <w:sz w:val="24"/>
          <w:szCs w:val="24"/>
          <w:shd w:val="clear" w:color="auto" w:fill="FFFFFF"/>
        </w:rPr>
        <w:t>委托投资资产</w:t>
      </w:r>
      <w:r>
        <w:rPr>
          <w:sz w:val="24"/>
          <w:szCs w:val="24"/>
        </w:rPr>
        <w:tab/>
      </w:r>
      <w:r>
        <w:rPr>
          <w:sz w:val="24"/>
          <w:szCs w:val="24"/>
        </w:rPr>
        <w:fldChar w:fldCharType="begin"/>
      </w:r>
      <w:r>
        <w:rPr>
          <w:sz w:val="24"/>
          <w:szCs w:val="24"/>
        </w:rPr>
        <w:instrText xml:space="preserve"> PAGEREF _Toc319934283 \h </w:instrText>
      </w:r>
      <w:r>
        <w:rPr>
          <w:sz w:val="24"/>
          <w:szCs w:val="24"/>
        </w:rPr>
        <w:fldChar w:fldCharType="separate"/>
      </w:r>
      <w:r>
        <w:rPr>
          <w:sz w:val="24"/>
          <w:szCs w:val="24"/>
        </w:rPr>
        <w:t>10</w:t>
      </w:r>
      <w:r>
        <w:rPr>
          <w:sz w:val="24"/>
          <w:szCs w:val="24"/>
        </w:rPr>
        <w:fldChar w:fldCharType="end"/>
      </w:r>
      <w:r>
        <w:rPr>
          <w:sz w:val="24"/>
          <w:szCs w:val="24"/>
        </w:rPr>
        <w:fldChar w:fldCharType="end"/>
      </w:r>
    </w:p>
    <w:p>
      <w:pPr>
        <w:pStyle w:val="13"/>
        <w:rPr>
          <w:rFonts w:ascii="Times New Roman" w:eastAsia="宋体"/>
          <w:b w:val="0"/>
          <w:sz w:val="24"/>
          <w:szCs w:val="24"/>
        </w:rPr>
      </w:pPr>
      <w:r>
        <w:rPr>
          <w:sz w:val="24"/>
          <w:szCs w:val="24"/>
        </w:rPr>
        <w:fldChar w:fldCharType="begin"/>
      </w:r>
      <w:r>
        <w:rPr>
          <w:rStyle w:val="19"/>
          <w:sz w:val="24"/>
          <w:szCs w:val="24"/>
        </w:rPr>
        <w:instrText xml:space="preserve"> </w:instrText>
      </w:r>
      <w:r>
        <w:rPr>
          <w:sz w:val="24"/>
          <w:szCs w:val="24"/>
        </w:rPr>
        <w:instrText xml:space="preserve">HYPERLINK \l "_Toc319934284"</w:instrText>
      </w:r>
      <w:r>
        <w:rPr>
          <w:rStyle w:val="19"/>
          <w:sz w:val="24"/>
          <w:szCs w:val="24"/>
        </w:rPr>
        <w:instrText xml:space="preserve"> </w:instrText>
      </w:r>
      <w:r>
        <w:rPr>
          <w:sz w:val="24"/>
          <w:szCs w:val="24"/>
        </w:rPr>
        <w:fldChar w:fldCharType="separate"/>
      </w:r>
      <w:r>
        <w:rPr>
          <w:rStyle w:val="19"/>
          <w:rFonts w:hint="eastAsia" w:hAnsi="黑体"/>
          <w:sz w:val="24"/>
          <w:szCs w:val="24"/>
          <w:shd w:val="clear" w:color="auto" w:fill="FFFFFF"/>
        </w:rPr>
        <w:t>第五章</w:t>
      </w:r>
      <w:r>
        <w:rPr>
          <w:rStyle w:val="19"/>
          <w:rFonts w:hAnsi="黑体"/>
          <w:sz w:val="24"/>
          <w:szCs w:val="24"/>
          <w:shd w:val="clear" w:color="auto" w:fill="FFFFFF"/>
        </w:rPr>
        <w:t xml:space="preserve">  </w:t>
      </w:r>
      <w:r>
        <w:rPr>
          <w:rStyle w:val="19"/>
          <w:rFonts w:hint="eastAsia"/>
          <w:sz w:val="24"/>
          <w:szCs w:val="24"/>
          <w:shd w:val="clear" w:color="auto" w:fill="FFFFFF"/>
        </w:rPr>
        <w:t>投资政策与变更</w:t>
      </w:r>
      <w:r>
        <w:rPr>
          <w:sz w:val="24"/>
          <w:szCs w:val="24"/>
        </w:rPr>
        <w:tab/>
      </w:r>
      <w:r>
        <w:rPr>
          <w:sz w:val="24"/>
          <w:szCs w:val="24"/>
        </w:rPr>
        <w:fldChar w:fldCharType="begin"/>
      </w:r>
      <w:r>
        <w:rPr>
          <w:sz w:val="24"/>
          <w:szCs w:val="24"/>
        </w:rPr>
        <w:instrText xml:space="preserve"> PAGEREF _Toc319934284 \h </w:instrText>
      </w:r>
      <w:r>
        <w:rPr>
          <w:sz w:val="24"/>
          <w:szCs w:val="24"/>
        </w:rPr>
        <w:fldChar w:fldCharType="separate"/>
      </w:r>
      <w:r>
        <w:rPr>
          <w:sz w:val="24"/>
          <w:szCs w:val="24"/>
        </w:rPr>
        <w:t>11</w:t>
      </w:r>
      <w:r>
        <w:rPr>
          <w:sz w:val="24"/>
          <w:szCs w:val="24"/>
        </w:rPr>
        <w:fldChar w:fldCharType="end"/>
      </w:r>
      <w:r>
        <w:rPr>
          <w:sz w:val="24"/>
          <w:szCs w:val="24"/>
        </w:rPr>
        <w:fldChar w:fldCharType="end"/>
      </w:r>
    </w:p>
    <w:p>
      <w:pPr>
        <w:pStyle w:val="13"/>
        <w:rPr>
          <w:rFonts w:ascii="Times New Roman" w:eastAsia="宋体"/>
          <w:b w:val="0"/>
          <w:sz w:val="24"/>
          <w:szCs w:val="24"/>
        </w:rPr>
      </w:pPr>
      <w:r>
        <w:rPr>
          <w:sz w:val="24"/>
          <w:szCs w:val="24"/>
        </w:rPr>
        <w:fldChar w:fldCharType="begin"/>
      </w:r>
      <w:r>
        <w:rPr>
          <w:rStyle w:val="19"/>
          <w:sz w:val="24"/>
          <w:szCs w:val="24"/>
        </w:rPr>
        <w:instrText xml:space="preserve"> </w:instrText>
      </w:r>
      <w:r>
        <w:rPr>
          <w:sz w:val="24"/>
          <w:szCs w:val="24"/>
        </w:rPr>
        <w:instrText xml:space="preserve">HYPERLINK \l "_Toc319934285"</w:instrText>
      </w:r>
      <w:r>
        <w:rPr>
          <w:rStyle w:val="19"/>
          <w:sz w:val="24"/>
          <w:szCs w:val="24"/>
        </w:rPr>
        <w:instrText xml:space="preserve"> </w:instrText>
      </w:r>
      <w:r>
        <w:rPr>
          <w:sz w:val="24"/>
          <w:szCs w:val="24"/>
        </w:rPr>
        <w:fldChar w:fldCharType="separate"/>
      </w:r>
      <w:r>
        <w:rPr>
          <w:rStyle w:val="19"/>
          <w:rFonts w:hint="eastAsia"/>
          <w:sz w:val="24"/>
          <w:szCs w:val="24"/>
          <w:shd w:val="clear" w:color="auto" w:fill="FFFFFF"/>
        </w:rPr>
        <w:t>第六章</w:t>
      </w:r>
      <w:r>
        <w:rPr>
          <w:rStyle w:val="19"/>
          <w:sz w:val="24"/>
          <w:szCs w:val="24"/>
          <w:shd w:val="clear" w:color="auto" w:fill="FFFFFF"/>
        </w:rPr>
        <w:t xml:space="preserve"> </w:t>
      </w:r>
      <w:r>
        <w:rPr>
          <w:rStyle w:val="19"/>
          <w:rFonts w:hint="eastAsia"/>
          <w:sz w:val="24"/>
          <w:szCs w:val="24"/>
          <w:shd w:val="clear" w:color="auto" w:fill="FFFFFF"/>
        </w:rPr>
        <w:t>投资经理的指定与变更</w:t>
      </w:r>
      <w:r>
        <w:rPr>
          <w:sz w:val="24"/>
          <w:szCs w:val="24"/>
        </w:rPr>
        <w:tab/>
      </w:r>
      <w:r>
        <w:rPr>
          <w:sz w:val="24"/>
          <w:szCs w:val="24"/>
        </w:rPr>
        <w:fldChar w:fldCharType="begin"/>
      </w:r>
      <w:r>
        <w:rPr>
          <w:sz w:val="24"/>
          <w:szCs w:val="24"/>
        </w:rPr>
        <w:instrText xml:space="preserve"> PAGEREF _Toc319934285 \h </w:instrText>
      </w:r>
      <w:r>
        <w:rPr>
          <w:sz w:val="24"/>
          <w:szCs w:val="24"/>
        </w:rPr>
        <w:fldChar w:fldCharType="separate"/>
      </w:r>
      <w:r>
        <w:rPr>
          <w:sz w:val="24"/>
          <w:szCs w:val="24"/>
        </w:rPr>
        <w:t>12</w:t>
      </w:r>
      <w:r>
        <w:rPr>
          <w:sz w:val="24"/>
          <w:szCs w:val="24"/>
        </w:rPr>
        <w:fldChar w:fldCharType="end"/>
      </w:r>
      <w:r>
        <w:rPr>
          <w:sz w:val="24"/>
          <w:szCs w:val="24"/>
        </w:rPr>
        <w:fldChar w:fldCharType="end"/>
      </w:r>
    </w:p>
    <w:p>
      <w:pPr>
        <w:pStyle w:val="13"/>
        <w:rPr>
          <w:rFonts w:ascii="Times New Roman" w:eastAsia="宋体"/>
          <w:b w:val="0"/>
          <w:sz w:val="24"/>
          <w:szCs w:val="24"/>
        </w:rPr>
      </w:pPr>
      <w:r>
        <w:rPr>
          <w:sz w:val="24"/>
          <w:szCs w:val="24"/>
        </w:rPr>
        <w:fldChar w:fldCharType="begin"/>
      </w:r>
      <w:r>
        <w:rPr>
          <w:rStyle w:val="19"/>
          <w:sz w:val="24"/>
          <w:szCs w:val="24"/>
        </w:rPr>
        <w:instrText xml:space="preserve"> </w:instrText>
      </w:r>
      <w:r>
        <w:rPr>
          <w:sz w:val="24"/>
          <w:szCs w:val="24"/>
        </w:rPr>
        <w:instrText xml:space="preserve">HYPERLINK \l "_Toc319934286"</w:instrText>
      </w:r>
      <w:r>
        <w:rPr>
          <w:rStyle w:val="19"/>
          <w:sz w:val="24"/>
          <w:szCs w:val="24"/>
        </w:rPr>
        <w:instrText xml:space="preserve"> </w:instrText>
      </w:r>
      <w:r>
        <w:rPr>
          <w:sz w:val="24"/>
          <w:szCs w:val="24"/>
        </w:rPr>
        <w:fldChar w:fldCharType="separate"/>
      </w:r>
      <w:r>
        <w:rPr>
          <w:rStyle w:val="19"/>
          <w:rFonts w:hint="eastAsia" w:hAnsi="黑体"/>
          <w:sz w:val="24"/>
          <w:szCs w:val="24"/>
          <w:shd w:val="clear" w:color="auto" w:fill="FFFFFF"/>
        </w:rPr>
        <w:t>第七章</w:t>
      </w:r>
      <w:r>
        <w:rPr>
          <w:rStyle w:val="19"/>
          <w:rFonts w:hAnsi="黑体"/>
          <w:sz w:val="24"/>
          <w:szCs w:val="24"/>
          <w:shd w:val="clear" w:color="auto" w:fill="FFFFFF"/>
        </w:rPr>
        <w:t xml:space="preserve">  </w:t>
      </w:r>
      <w:r>
        <w:rPr>
          <w:rStyle w:val="19"/>
          <w:rFonts w:hint="eastAsia"/>
          <w:sz w:val="24"/>
          <w:szCs w:val="24"/>
          <w:shd w:val="clear" w:color="auto" w:fill="FFFFFF"/>
        </w:rPr>
        <w:t>证券经纪商的指定与变更</w:t>
      </w:r>
      <w:r>
        <w:rPr>
          <w:sz w:val="24"/>
          <w:szCs w:val="24"/>
        </w:rPr>
        <w:tab/>
      </w:r>
      <w:r>
        <w:rPr>
          <w:sz w:val="24"/>
          <w:szCs w:val="24"/>
        </w:rPr>
        <w:fldChar w:fldCharType="begin"/>
      </w:r>
      <w:r>
        <w:rPr>
          <w:sz w:val="24"/>
          <w:szCs w:val="24"/>
        </w:rPr>
        <w:instrText xml:space="preserve"> PAGEREF _Toc319934286 \h </w:instrText>
      </w:r>
      <w:r>
        <w:rPr>
          <w:sz w:val="24"/>
          <w:szCs w:val="24"/>
        </w:rPr>
        <w:fldChar w:fldCharType="separate"/>
      </w:r>
      <w:r>
        <w:rPr>
          <w:sz w:val="24"/>
          <w:szCs w:val="24"/>
        </w:rPr>
        <w:t>12</w:t>
      </w:r>
      <w:r>
        <w:rPr>
          <w:sz w:val="24"/>
          <w:szCs w:val="24"/>
        </w:rPr>
        <w:fldChar w:fldCharType="end"/>
      </w:r>
      <w:r>
        <w:rPr>
          <w:sz w:val="24"/>
          <w:szCs w:val="24"/>
        </w:rPr>
        <w:fldChar w:fldCharType="end"/>
      </w:r>
    </w:p>
    <w:p>
      <w:pPr>
        <w:pStyle w:val="13"/>
        <w:rPr>
          <w:rFonts w:ascii="Times New Roman" w:eastAsia="宋体"/>
          <w:b w:val="0"/>
          <w:sz w:val="24"/>
          <w:szCs w:val="24"/>
        </w:rPr>
      </w:pPr>
      <w:r>
        <w:rPr>
          <w:sz w:val="24"/>
          <w:szCs w:val="24"/>
        </w:rPr>
        <w:fldChar w:fldCharType="begin"/>
      </w:r>
      <w:r>
        <w:rPr>
          <w:rStyle w:val="19"/>
          <w:sz w:val="24"/>
          <w:szCs w:val="24"/>
        </w:rPr>
        <w:instrText xml:space="preserve"> </w:instrText>
      </w:r>
      <w:r>
        <w:rPr>
          <w:sz w:val="24"/>
          <w:szCs w:val="24"/>
        </w:rPr>
        <w:instrText xml:space="preserve">HYPERLINK \l "_Toc319934287"</w:instrText>
      </w:r>
      <w:r>
        <w:rPr>
          <w:rStyle w:val="19"/>
          <w:sz w:val="24"/>
          <w:szCs w:val="24"/>
        </w:rPr>
        <w:instrText xml:space="preserve"> </w:instrText>
      </w:r>
      <w:r>
        <w:rPr>
          <w:sz w:val="24"/>
          <w:szCs w:val="24"/>
        </w:rPr>
        <w:fldChar w:fldCharType="separate"/>
      </w:r>
      <w:r>
        <w:rPr>
          <w:rStyle w:val="19"/>
          <w:rFonts w:hint="eastAsia" w:hAnsi="黑体"/>
          <w:sz w:val="24"/>
          <w:szCs w:val="24"/>
          <w:shd w:val="clear" w:color="auto" w:fill="FFFFFF"/>
        </w:rPr>
        <w:t>第八章</w:t>
      </w:r>
      <w:r>
        <w:rPr>
          <w:rStyle w:val="19"/>
          <w:rFonts w:hAnsi="黑体"/>
          <w:sz w:val="24"/>
          <w:szCs w:val="24"/>
          <w:shd w:val="clear" w:color="auto" w:fill="FFFFFF"/>
        </w:rPr>
        <w:t xml:space="preserve">  </w:t>
      </w:r>
      <w:r>
        <w:rPr>
          <w:rStyle w:val="19"/>
          <w:rFonts w:hint="eastAsia"/>
          <w:sz w:val="24"/>
          <w:szCs w:val="24"/>
          <w:shd w:val="clear" w:color="auto" w:fill="FFFFFF"/>
        </w:rPr>
        <w:t>投资指令的发送、确认与执行</w:t>
      </w:r>
      <w:r>
        <w:rPr>
          <w:sz w:val="24"/>
          <w:szCs w:val="24"/>
        </w:rPr>
        <w:tab/>
      </w:r>
      <w:r>
        <w:rPr>
          <w:sz w:val="24"/>
          <w:szCs w:val="24"/>
        </w:rPr>
        <w:fldChar w:fldCharType="begin"/>
      </w:r>
      <w:r>
        <w:rPr>
          <w:sz w:val="24"/>
          <w:szCs w:val="24"/>
        </w:rPr>
        <w:instrText xml:space="preserve"> PAGEREF _Toc319934287 \h </w:instrText>
      </w:r>
      <w:r>
        <w:rPr>
          <w:sz w:val="24"/>
          <w:szCs w:val="24"/>
        </w:rPr>
        <w:fldChar w:fldCharType="separate"/>
      </w:r>
      <w:r>
        <w:rPr>
          <w:sz w:val="24"/>
          <w:szCs w:val="24"/>
        </w:rPr>
        <w:t>13</w:t>
      </w:r>
      <w:r>
        <w:rPr>
          <w:sz w:val="24"/>
          <w:szCs w:val="24"/>
        </w:rPr>
        <w:fldChar w:fldCharType="end"/>
      </w:r>
      <w:r>
        <w:rPr>
          <w:sz w:val="24"/>
          <w:szCs w:val="24"/>
        </w:rPr>
        <w:fldChar w:fldCharType="end"/>
      </w:r>
    </w:p>
    <w:p>
      <w:pPr>
        <w:pStyle w:val="13"/>
        <w:rPr>
          <w:rFonts w:ascii="Times New Roman" w:eastAsia="宋体"/>
          <w:b w:val="0"/>
          <w:sz w:val="24"/>
          <w:szCs w:val="24"/>
        </w:rPr>
      </w:pPr>
      <w:r>
        <w:rPr>
          <w:sz w:val="24"/>
          <w:szCs w:val="24"/>
        </w:rPr>
        <w:fldChar w:fldCharType="begin"/>
      </w:r>
      <w:r>
        <w:rPr>
          <w:rStyle w:val="19"/>
          <w:sz w:val="24"/>
          <w:szCs w:val="24"/>
        </w:rPr>
        <w:instrText xml:space="preserve"> </w:instrText>
      </w:r>
      <w:r>
        <w:rPr>
          <w:sz w:val="24"/>
          <w:szCs w:val="24"/>
        </w:rPr>
        <w:instrText xml:space="preserve">HYPERLINK \l "_Toc319934288"</w:instrText>
      </w:r>
      <w:r>
        <w:rPr>
          <w:rStyle w:val="19"/>
          <w:sz w:val="24"/>
          <w:szCs w:val="24"/>
        </w:rPr>
        <w:instrText xml:space="preserve"> </w:instrText>
      </w:r>
      <w:r>
        <w:rPr>
          <w:sz w:val="24"/>
          <w:szCs w:val="24"/>
        </w:rPr>
        <w:fldChar w:fldCharType="separate"/>
      </w:r>
      <w:r>
        <w:rPr>
          <w:rStyle w:val="19"/>
          <w:rFonts w:hint="eastAsia" w:hAnsi="黑体"/>
          <w:sz w:val="24"/>
          <w:szCs w:val="24"/>
          <w:shd w:val="clear" w:color="auto" w:fill="FFFFFF"/>
        </w:rPr>
        <w:t>第九章</w:t>
      </w:r>
      <w:r>
        <w:rPr>
          <w:rStyle w:val="19"/>
          <w:rFonts w:hAnsi="黑体"/>
          <w:sz w:val="24"/>
          <w:szCs w:val="24"/>
          <w:shd w:val="clear" w:color="auto" w:fill="FFFFFF"/>
        </w:rPr>
        <w:t xml:space="preserve">  </w:t>
      </w:r>
      <w:r>
        <w:rPr>
          <w:rStyle w:val="19"/>
          <w:rFonts w:hint="eastAsia"/>
          <w:sz w:val="24"/>
          <w:szCs w:val="24"/>
          <w:shd w:val="clear" w:color="auto" w:fill="FFFFFF"/>
        </w:rPr>
        <w:t>越权交易和被动超标的处理</w:t>
      </w:r>
      <w:r>
        <w:rPr>
          <w:sz w:val="24"/>
          <w:szCs w:val="24"/>
        </w:rPr>
        <w:tab/>
      </w:r>
      <w:r>
        <w:rPr>
          <w:sz w:val="24"/>
          <w:szCs w:val="24"/>
        </w:rPr>
        <w:fldChar w:fldCharType="begin"/>
      </w:r>
      <w:r>
        <w:rPr>
          <w:sz w:val="24"/>
          <w:szCs w:val="24"/>
        </w:rPr>
        <w:instrText xml:space="preserve"> PAGEREF _Toc319934288 \h </w:instrText>
      </w:r>
      <w:r>
        <w:rPr>
          <w:sz w:val="24"/>
          <w:szCs w:val="24"/>
        </w:rPr>
        <w:fldChar w:fldCharType="separate"/>
      </w:r>
      <w:r>
        <w:rPr>
          <w:sz w:val="24"/>
          <w:szCs w:val="24"/>
        </w:rPr>
        <w:t>14</w:t>
      </w:r>
      <w:r>
        <w:rPr>
          <w:sz w:val="24"/>
          <w:szCs w:val="24"/>
        </w:rPr>
        <w:fldChar w:fldCharType="end"/>
      </w:r>
      <w:r>
        <w:rPr>
          <w:sz w:val="24"/>
          <w:szCs w:val="24"/>
        </w:rPr>
        <w:fldChar w:fldCharType="end"/>
      </w:r>
    </w:p>
    <w:p>
      <w:pPr>
        <w:pStyle w:val="13"/>
        <w:rPr>
          <w:rFonts w:ascii="Times New Roman" w:eastAsia="宋体"/>
          <w:b w:val="0"/>
          <w:sz w:val="24"/>
          <w:szCs w:val="24"/>
        </w:rPr>
      </w:pPr>
      <w:r>
        <w:rPr>
          <w:sz w:val="24"/>
          <w:szCs w:val="24"/>
        </w:rPr>
        <w:fldChar w:fldCharType="begin"/>
      </w:r>
      <w:r>
        <w:rPr>
          <w:rStyle w:val="19"/>
          <w:sz w:val="24"/>
          <w:szCs w:val="24"/>
        </w:rPr>
        <w:instrText xml:space="preserve"> </w:instrText>
      </w:r>
      <w:r>
        <w:rPr>
          <w:sz w:val="24"/>
          <w:szCs w:val="24"/>
        </w:rPr>
        <w:instrText xml:space="preserve">HYPERLINK \l "_Toc319934289"</w:instrText>
      </w:r>
      <w:r>
        <w:rPr>
          <w:rStyle w:val="19"/>
          <w:sz w:val="24"/>
          <w:szCs w:val="24"/>
        </w:rPr>
        <w:instrText xml:space="preserve"> </w:instrText>
      </w:r>
      <w:r>
        <w:rPr>
          <w:sz w:val="24"/>
          <w:szCs w:val="24"/>
        </w:rPr>
        <w:fldChar w:fldCharType="separate"/>
      </w:r>
      <w:r>
        <w:rPr>
          <w:rStyle w:val="19"/>
          <w:rFonts w:hint="eastAsia" w:hAnsi="黑体"/>
          <w:sz w:val="24"/>
          <w:szCs w:val="24"/>
          <w:shd w:val="clear" w:color="auto" w:fill="FFFFFF"/>
        </w:rPr>
        <w:t>第十章</w:t>
      </w:r>
      <w:r>
        <w:rPr>
          <w:rStyle w:val="19"/>
          <w:rFonts w:hAnsi="黑体"/>
          <w:sz w:val="24"/>
          <w:szCs w:val="24"/>
          <w:shd w:val="clear" w:color="auto" w:fill="FFFFFF"/>
        </w:rPr>
        <w:t xml:space="preserve">  </w:t>
      </w:r>
      <w:r>
        <w:rPr>
          <w:rStyle w:val="19"/>
          <w:rFonts w:hint="eastAsia"/>
          <w:sz w:val="24"/>
          <w:szCs w:val="24"/>
          <w:shd w:val="clear" w:color="auto" w:fill="FFFFFF"/>
        </w:rPr>
        <w:t>委托投资资产的估值</w:t>
      </w:r>
      <w:r>
        <w:rPr>
          <w:sz w:val="24"/>
          <w:szCs w:val="24"/>
        </w:rPr>
        <w:tab/>
      </w:r>
      <w:r>
        <w:rPr>
          <w:sz w:val="24"/>
          <w:szCs w:val="24"/>
        </w:rPr>
        <w:fldChar w:fldCharType="begin"/>
      </w:r>
      <w:r>
        <w:rPr>
          <w:sz w:val="24"/>
          <w:szCs w:val="24"/>
        </w:rPr>
        <w:instrText xml:space="preserve"> PAGEREF _Toc319934289 \h </w:instrText>
      </w:r>
      <w:r>
        <w:rPr>
          <w:sz w:val="24"/>
          <w:szCs w:val="24"/>
        </w:rPr>
        <w:fldChar w:fldCharType="separate"/>
      </w:r>
      <w:r>
        <w:rPr>
          <w:sz w:val="24"/>
          <w:szCs w:val="24"/>
        </w:rPr>
        <w:t>17</w:t>
      </w:r>
      <w:r>
        <w:rPr>
          <w:sz w:val="24"/>
          <w:szCs w:val="24"/>
        </w:rPr>
        <w:fldChar w:fldCharType="end"/>
      </w:r>
      <w:r>
        <w:rPr>
          <w:sz w:val="24"/>
          <w:szCs w:val="24"/>
        </w:rPr>
        <w:fldChar w:fldCharType="end"/>
      </w:r>
    </w:p>
    <w:p>
      <w:pPr>
        <w:pStyle w:val="13"/>
        <w:rPr>
          <w:rFonts w:ascii="Times New Roman" w:eastAsia="宋体"/>
          <w:b w:val="0"/>
          <w:sz w:val="24"/>
          <w:szCs w:val="24"/>
        </w:rPr>
      </w:pPr>
      <w:r>
        <w:rPr>
          <w:sz w:val="24"/>
          <w:szCs w:val="24"/>
        </w:rPr>
        <w:fldChar w:fldCharType="begin"/>
      </w:r>
      <w:r>
        <w:rPr>
          <w:rStyle w:val="19"/>
          <w:sz w:val="24"/>
          <w:szCs w:val="24"/>
        </w:rPr>
        <w:instrText xml:space="preserve"> </w:instrText>
      </w:r>
      <w:r>
        <w:rPr>
          <w:sz w:val="24"/>
          <w:szCs w:val="24"/>
        </w:rPr>
        <w:instrText xml:space="preserve">HYPERLINK \l "_Toc319934290"</w:instrText>
      </w:r>
      <w:r>
        <w:rPr>
          <w:rStyle w:val="19"/>
          <w:sz w:val="24"/>
          <w:szCs w:val="24"/>
        </w:rPr>
        <w:instrText xml:space="preserve"> </w:instrText>
      </w:r>
      <w:r>
        <w:rPr>
          <w:sz w:val="24"/>
          <w:szCs w:val="24"/>
        </w:rPr>
        <w:fldChar w:fldCharType="separate"/>
      </w:r>
      <w:r>
        <w:rPr>
          <w:rStyle w:val="19"/>
          <w:rFonts w:hint="eastAsia" w:hAnsi="黑体"/>
          <w:sz w:val="24"/>
          <w:szCs w:val="24"/>
          <w:shd w:val="clear" w:color="auto" w:fill="FFFFFF"/>
        </w:rPr>
        <w:t>第十一章</w:t>
      </w:r>
      <w:r>
        <w:rPr>
          <w:rStyle w:val="19"/>
          <w:rFonts w:hAnsi="黑体"/>
          <w:sz w:val="24"/>
          <w:szCs w:val="24"/>
          <w:shd w:val="clear" w:color="auto" w:fill="FFFFFF"/>
        </w:rPr>
        <w:t xml:space="preserve">  </w:t>
      </w:r>
      <w:r>
        <w:rPr>
          <w:rStyle w:val="19"/>
          <w:rFonts w:hint="eastAsia" w:hAnsi="宋体"/>
          <w:sz w:val="24"/>
          <w:szCs w:val="24"/>
          <w:shd w:val="clear" w:color="auto" w:fill="FFFFFF"/>
        </w:rPr>
        <w:t>投资管理费与其他费用</w:t>
      </w:r>
      <w:r>
        <w:rPr>
          <w:sz w:val="24"/>
          <w:szCs w:val="24"/>
        </w:rPr>
        <w:tab/>
      </w:r>
      <w:r>
        <w:rPr>
          <w:sz w:val="24"/>
          <w:szCs w:val="24"/>
        </w:rPr>
        <w:fldChar w:fldCharType="begin"/>
      </w:r>
      <w:r>
        <w:rPr>
          <w:sz w:val="24"/>
          <w:szCs w:val="24"/>
        </w:rPr>
        <w:instrText xml:space="preserve"> PAGEREF _Toc319934290 \h </w:instrText>
      </w:r>
      <w:r>
        <w:rPr>
          <w:sz w:val="24"/>
          <w:szCs w:val="24"/>
        </w:rPr>
        <w:fldChar w:fldCharType="separate"/>
      </w:r>
      <w:r>
        <w:rPr>
          <w:sz w:val="24"/>
          <w:szCs w:val="24"/>
        </w:rPr>
        <w:t>20</w:t>
      </w:r>
      <w:r>
        <w:rPr>
          <w:sz w:val="24"/>
          <w:szCs w:val="24"/>
        </w:rPr>
        <w:fldChar w:fldCharType="end"/>
      </w:r>
      <w:r>
        <w:rPr>
          <w:sz w:val="24"/>
          <w:szCs w:val="24"/>
        </w:rPr>
        <w:fldChar w:fldCharType="end"/>
      </w:r>
    </w:p>
    <w:p>
      <w:pPr>
        <w:pStyle w:val="13"/>
        <w:rPr>
          <w:rFonts w:ascii="Times New Roman" w:eastAsia="宋体"/>
          <w:b w:val="0"/>
          <w:sz w:val="24"/>
          <w:szCs w:val="24"/>
        </w:rPr>
      </w:pPr>
      <w:r>
        <w:rPr>
          <w:sz w:val="24"/>
          <w:szCs w:val="24"/>
        </w:rPr>
        <w:fldChar w:fldCharType="begin"/>
      </w:r>
      <w:r>
        <w:rPr>
          <w:rStyle w:val="19"/>
          <w:sz w:val="24"/>
          <w:szCs w:val="24"/>
        </w:rPr>
        <w:instrText xml:space="preserve"> </w:instrText>
      </w:r>
      <w:r>
        <w:rPr>
          <w:sz w:val="24"/>
          <w:szCs w:val="24"/>
        </w:rPr>
        <w:instrText xml:space="preserve">HYPERLINK \l "_Toc319934291"</w:instrText>
      </w:r>
      <w:r>
        <w:rPr>
          <w:rStyle w:val="19"/>
          <w:sz w:val="24"/>
          <w:szCs w:val="24"/>
        </w:rPr>
        <w:instrText xml:space="preserve"> </w:instrText>
      </w:r>
      <w:r>
        <w:rPr>
          <w:sz w:val="24"/>
          <w:szCs w:val="24"/>
        </w:rPr>
        <w:fldChar w:fldCharType="separate"/>
      </w:r>
      <w:r>
        <w:rPr>
          <w:rStyle w:val="19"/>
          <w:rFonts w:hint="eastAsia"/>
          <w:sz w:val="24"/>
          <w:szCs w:val="24"/>
          <w:shd w:val="clear" w:color="auto" w:fill="FFFFFF"/>
        </w:rPr>
        <w:t>第十二章</w:t>
      </w:r>
      <w:r>
        <w:rPr>
          <w:rStyle w:val="19"/>
          <w:sz w:val="24"/>
          <w:szCs w:val="24"/>
          <w:shd w:val="clear" w:color="auto" w:fill="FFFFFF"/>
        </w:rPr>
        <w:t xml:space="preserve">  </w:t>
      </w:r>
      <w:r>
        <w:rPr>
          <w:rStyle w:val="19"/>
          <w:rFonts w:hint="eastAsia"/>
          <w:sz w:val="24"/>
          <w:szCs w:val="24"/>
          <w:shd w:val="clear" w:color="auto" w:fill="FFFFFF"/>
        </w:rPr>
        <w:t>投资管理风险准备金</w:t>
      </w:r>
      <w:r>
        <w:rPr>
          <w:sz w:val="24"/>
          <w:szCs w:val="24"/>
        </w:rPr>
        <w:tab/>
      </w:r>
      <w:r>
        <w:rPr>
          <w:sz w:val="24"/>
          <w:szCs w:val="24"/>
        </w:rPr>
        <w:fldChar w:fldCharType="begin"/>
      </w:r>
      <w:r>
        <w:rPr>
          <w:sz w:val="24"/>
          <w:szCs w:val="24"/>
        </w:rPr>
        <w:instrText xml:space="preserve"> PAGEREF _Toc319934291 \h </w:instrText>
      </w:r>
      <w:r>
        <w:rPr>
          <w:sz w:val="24"/>
          <w:szCs w:val="24"/>
        </w:rPr>
        <w:fldChar w:fldCharType="separate"/>
      </w:r>
      <w:r>
        <w:rPr>
          <w:sz w:val="24"/>
          <w:szCs w:val="24"/>
        </w:rPr>
        <w:t>24</w:t>
      </w:r>
      <w:r>
        <w:rPr>
          <w:sz w:val="24"/>
          <w:szCs w:val="24"/>
        </w:rPr>
        <w:fldChar w:fldCharType="end"/>
      </w:r>
      <w:r>
        <w:rPr>
          <w:sz w:val="24"/>
          <w:szCs w:val="24"/>
        </w:rPr>
        <w:fldChar w:fldCharType="end"/>
      </w:r>
    </w:p>
    <w:p>
      <w:pPr>
        <w:pStyle w:val="13"/>
        <w:rPr>
          <w:rFonts w:ascii="Times New Roman" w:eastAsia="宋体"/>
          <w:b w:val="0"/>
          <w:sz w:val="24"/>
          <w:szCs w:val="24"/>
        </w:rPr>
      </w:pPr>
      <w:r>
        <w:rPr>
          <w:sz w:val="24"/>
          <w:szCs w:val="24"/>
        </w:rPr>
        <w:fldChar w:fldCharType="begin"/>
      </w:r>
      <w:r>
        <w:rPr>
          <w:rStyle w:val="19"/>
          <w:sz w:val="24"/>
          <w:szCs w:val="24"/>
        </w:rPr>
        <w:instrText xml:space="preserve"> </w:instrText>
      </w:r>
      <w:r>
        <w:rPr>
          <w:sz w:val="24"/>
          <w:szCs w:val="24"/>
        </w:rPr>
        <w:instrText xml:space="preserve">HYPERLINK \l "_Toc319934292"</w:instrText>
      </w:r>
      <w:r>
        <w:rPr>
          <w:rStyle w:val="19"/>
          <w:sz w:val="24"/>
          <w:szCs w:val="24"/>
        </w:rPr>
        <w:instrText xml:space="preserve"> </w:instrText>
      </w:r>
      <w:r>
        <w:rPr>
          <w:sz w:val="24"/>
          <w:szCs w:val="24"/>
        </w:rPr>
        <w:fldChar w:fldCharType="separate"/>
      </w:r>
      <w:r>
        <w:rPr>
          <w:rStyle w:val="19"/>
          <w:rFonts w:hint="eastAsia"/>
          <w:sz w:val="24"/>
          <w:szCs w:val="24"/>
          <w:shd w:val="clear" w:color="auto" w:fill="FFFFFF"/>
        </w:rPr>
        <w:t>第十三章</w:t>
      </w:r>
      <w:r>
        <w:rPr>
          <w:rStyle w:val="19"/>
          <w:sz w:val="24"/>
          <w:szCs w:val="24"/>
          <w:shd w:val="clear" w:color="auto" w:fill="FFFFFF"/>
        </w:rPr>
        <w:t xml:space="preserve">  </w:t>
      </w:r>
      <w:r>
        <w:rPr>
          <w:rStyle w:val="19"/>
          <w:rFonts w:hint="eastAsia"/>
          <w:sz w:val="24"/>
          <w:szCs w:val="24"/>
          <w:shd w:val="clear" w:color="auto" w:fill="FFFFFF"/>
        </w:rPr>
        <w:t>委托投资资产的会计与审计</w:t>
      </w:r>
      <w:r>
        <w:rPr>
          <w:sz w:val="24"/>
          <w:szCs w:val="24"/>
        </w:rPr>
        <w:tab/>
      </w:r>
      <w:r>
        <w:rPr>
          <w:sz w:val="24"/>
          <w:szCs w:val="24"/>
        </w:rPr>
        <w:fldChar w:fldCharType="begin"/>
      </w:r>
      <w:r>
        <w:rPr>
          <w:sz w:val="24"/>
          <w:szCs w:val="24"/>
        </w:rPr>
        <w:instrText xml:space="preserve"> PAGEREF _Toc319934292 \h </w:instrText>
      </w:r>
      <w:r>
        <w:rPr>
          <w:sz w:val="24"/>
          <w:szCs w:val="24"/>
        </w:rPr>
        <w:fldChar w:fldCharType="separate"/>
      </w:r>
      <w:r>
        <w:rPr>
          <w:sz w:val="24"/>
          <w:szCs w:val="24"/>
        </w:rPr>
        <w:t>25</w:t>
      </w:r>
      <w:r>
        <w:rPr>
          <w:sz w:val="24"/>
          <w:szCs w:val="24"/>
        </w:rPr>
        <w:fldChar w:fldCharType="end"/>
      </w:r>
      <w:r>
        <w:rPr>
          <w:sz w:val="24"/>
          <w:szCs w:val="24"/>
        </w:rPr>
        <w:fldChar w:fldCharType="end"/>
      </w:r>
    </w:p>
    <w:p>
      <w:pPr>
        <w:pStyle w:val="13"/>
        <w:rPr>
          <w:rFonts w:ascii="Times New Roman" w:eastAsia="宋体"/>
          <w:b w:val="0"/>
          <w:sz w:val="24"/>
          <w:szCs w:val="24"/>
        </w:rPr>
      </w:pPr>
      <w:r>
        <w:rPr>
          <w:sz w:val="24"/>
          <w:szCs w:val="24"/>
        </w:rPr>
        <w:fldChar w:fldCharType="begin"/>
      </w:r>
      <w:r>
        <w:rPr>
          <w:rStyle w:val="19"/>
          <w:sz w:val="24"/>
          <w:szCs w:val="24"/>
        </w:rPr>
        <w:instrText xml:space="preserve"> </w:instrText>
      </w:r>
      <w:r>
        <w:rPr>
          <w:sz w:val="24"/>
          <w:szCs w:val="24"/>
        </w:rPr>
        <w:instrText xml:space="preserve">HYPERLINK \l "_Toc319934293"</w:instrText>
      </w:r>
      <w:r>
        <w:rPr>
          <w:rStyle w:val="19"/>
          <w:sz w:val="24"/>
          <w:szCs w:val="24"/>
        </w:rPr>
        <w:instrText xml:space="preserve"> </w:instrText>
      </w:r>
      <w:r>
        <w:rPr>
          <w:sz w:val="24"/>
          <w:szCs w:val="24"/>
        </w:rPr>
        <w:fldChar w:fldCharType="separate"/>
      </w:r>
      <w:r>
        <w:rPr>
          <w:rStyle w:val="19"/>
          <w:rFonts w:hint="eastAsia"/>
          <w:sz w:val="24"/>
          <w:szCs w:val="24"/>
          <w:shd w:val="clear" w:color="auto" w:fill="FFFFFF"/>
        </w:rPr>
        <w:t>第十四章</w:t>
      </w:r>
      <w:r>
        <w:rPr>
          <w:rStyle w:val="19"/>
          <w:sz w:val="24"/>
          <w:szCs w:val="24"/>
          <w:shd w:val="clear" w:color="auto" w:fill="FFFFFF"/>
        </w:rPr>
        <w:t xml:space="preserve">  </w:t>
      </w:r>
      <w:r>
        <w:rPr>
          <w:rStyle w:val="19"/>
          <w:rFonts w:hint="eastAsia"/>
          <w:sz w:val="24"/>
          <w:szCs w:val="24"/>
          <w:shd w:val="clear" w:color="auto" w:fill="FFFFFF"/>
        </w:rPr>
        <w:t>信息报告与披露</w:t>
      </w:r>
      <w:r>
        <w:rPr>
          <w:sz w:val="24"/>
          <w:szCs w:val="24"/>
        </w:rPr>
        <w:tab/>
      </w:r>
      <w:r>
        <w:rPr>
          <w:sz w:val="24"/>
          <w:szCs w:val="24"/>
        </w:rPr>
        <w:fldChar w:fldCharType="begin"/>
      </w:r>
      <w:r>
        <w:rPr>
          <w:sz w:val="24"/>
          <w:szCs w:val="24"/>
        </w:rPr>
        <w:instrText xml:space="preserve"> PAGEREF _Toc319934293 \h </w:instrText>
      </w:r>
      <w:r>
        <w:rPr>
          <w:sz w:val="24"/>
          <w:szCs w:val="24"/>
        </w:rPr>
        <w:fldChar w:fldCharType="separate"/>
      </w:r>
      <w:r>
        <w:rPr>
          <w:sz w:val="24"/>
          <w:szCs w:val="24"/>
        </w:rPr>
        <w:t>27</w:t>
      </w:r>
      <w:r>
        <w:rPr>
          <w:sz w:val="24"/>
          <w:szCs w:val="24"/>
        </w:rPr>
        <w:fldChar w:fldCharType="end"/>
      </w:r>
      <w:r>
        <w:rPr>
          <w:sz w:val="24"/>
          <w:szCs w:val="24"/>
        </w:rPr>
        <w:fldChar w:fldCharType="end"/>
      </w:r>
    </w:p>
    <w:p>
      <w:pPr>
        <w:pStyle w:val="13"/>
        <w:rPr>
          <w:rFonts w:ascii="Times New Roman" w:eastAsia="宋体"/>
          <w:b w:val="0"/>
          <w:sz w:val="24"/>
          <w:szCs w:val="24"/>
        </w:rPr>
      </w:pPr>
      <w:r>
        <w:rPr>
          <w:sz w:val="24"/>
          <w:szCs w:val="24"/>
        </w:rPr>
        <w:fldChar w:fldCharType="begin"/>
      </w:r>
      <w:r>
        <w:rPr>
          <w:rStyle w:val="19"/>
          <w:sz w:val="24"/>
          <w:szCs w:val="24"/>
        </w:rPr>
        <w:instrText xml:space="preserve"> </w:instrText>
      </w:r>
      <w:r>
        <w:rPr>
          <w:sz w:val="24"/>
          <w:szCs w:val="24"/>
        </w:rPr>
        <w:instrText xml:space="preserve">HYPERLINK \l "_Toc319934294"</w:instrText>
      </w:r>
      <w:r>
        <w:rPr>
          <w:rStyle w:val="19"/>
          <w:sz w:val="24"/>
          <w:szCs w:val="24"/>
        </w:rPr>
        <w:instrText xml:space="preserve"> </w:instrText>
      </w:r>
      <w:r>
        <w:rPr>
          <w:sz w:val="24"/>
          <w:szCs w:val="24"/>
        </w:rPr>
        <w:fldChar w:fldCharType="separate"/>
      </w:r>
      <w:r>
        <w:rPr>
          <w:rStyle w:val="19"/>
          <w:rFonts w:hint="eastAsia"/>
          <w:sz w:val="24"/>
          <w:szCs w:val="24"/>
          <w:shd w:val="clear" w:color="auto" w:fill="FFFFFF"/>
        </w:rPr>
        <w:t>第十五章</w:t>
      </w:r>
      <w:r>
        <w:rPr>
          <w:rStyle w:val="19"/>
          <w:sz w:val="24"/>
          <w:szCs w:val="24"/>
          <w:shd w:val="clear" w:color="auto" w:fill="FFFFFF"/>
        </w:rPr>
        <w:t xml:space="preserve">  </w:t>
      </w:r>
      <w:r>
        <w:rPr>
          <w:rStyle w:val="19"/>
          <w:rFonts w:hint="eastAsia"/>
          <w:sz w:val="24"/>
          <w:szCs w:val="24"/>
          <w:shd w:val="clear" w:color="auto" w:fill="FFFFFF"/>
        </w:rPr>
        <w:t>禁止行为</w:t>
      </w:r>
      <w:r>
        <w:rPr>
          <w:sz w:val="24"/>
          <w:szCs w:val="24"/>
        </w:rPr>
        <w:tab/>
      </w:r>
      <w:r>
        <w:rPr>
          <w:sz w:val="24"/>
          <w:szCs w:val="24"/>
        </w:rPr>
        <w:fldChar w:fldCharType="begin"/>
      </w:r>
      <w:r>
        <w:rPr>
          <w:sz w:val="24"/>
          <w:szCs w:val="24"/>
        </w:rPr>
        <w:instrText xml:space="preserve"> PAGEREF _Toc319934294 \h </w:instrText>
      </w:r>
      <w:r>
        <w:rPr>
          <w:sz w:val="24"/>
          <w:szCs w:val="24"/>
        </w:rPr>
        <w:fldChar w:fldCharType="separate"/>
      </w:r>
      <w:r>
        <w:rPr>
          <w:sz w:val="24"/>
          <w:szCs w:val="24"/>
        </w:rPr>
        <w:t>29</w:t>
      </w:r>
      <w:r>
        <w:rPr>
          <w:sz w:val="24"/>
          <w:szCs w:val="24"/>
        </w:rPr>
        <w:fldChar w:fldCharType="end"/>
      </w:r>
      <w:r>
        <w:rPr>
          <w:sz w:val="24"/>
          <w:szCs w:val="24"/>
        </w:rPr>
        <w:fldChar w:fldCharType="end"/>
      </w:r>
    </w:p>
    <w:p>
      <w:pPr>
        <w:pStyle w:val="13"/>
        <w:rPr>
          <w:rFonts w:ascii="Times New Roman" w:eastAsia="宋体"/>
          <w:b w:val="0"/>
          <w:sz w:val="24"/>
          <w:szCs w:val="24"/>
        </w:rPr>
      </w:pPr>
      <w:r>
        <w:rPr>
          <w:sz w:val="24"/>
          <w:szCs w:val="24"/>
        </w:rPr>
        <w:fldChar w:fldCharType="begin"/>
      </w:r>
      <w:r>
        <w:rPr>
          <w:rStyle w:val="19"/>
          <w:sz w:val="24"/>
          <w:szCs w:val="24"/>
        </w:rPr>
        <w:instrText xml:space="preserve"> </w:instrText>
      </w:r>
      <w:r>
        <w:rPr>
          <w:sz w:val="24"/>
          <w:szCs w:val="24"/>
        </w:rPr>
        <w:instrText xml:space="preserve">HYPERLINK \l "_Toc319934295"</w:instrText>
      </w:r>
      <w:r>
        <w:rPr>
          <w:rStyle w:val="19"/>
          <w:sz w:val="24"/>
          <w:szCs w:val="24"/>
        </w:rPr>
        <w:instrText xml:space="preserve"> </w:instrText>
      </w:r>
      <w:r>
        <w:rPr>
          <w:sz w:val="24"/>
          <w:szCs w:val="24"/>
        </w:rPr>
        <w:fldChar w:fldCharType="separate"/>
      </w:r>
      <w:r>
        <w:rPr>
          <w:rStyle w:val="19"/>
          <w:rFonts w:hint="eastAsia"/>
          <w:sz w:val="24"/>
          <w:szCs w:val="24"/>
          <w:shd w:val="clear" w:color="auto" w:fill="FFFFFF"/>
        </w:rPr>
        <w:t>第十六章</w:t>
      </w:r>
      <w:r>
        <w:rPr>
          <w:rStyle w:val="19"/>
          <w:sz w:val="24"/>
          <w:szCs w:val="24"/>
          <w:shd w:val="clear" w:color="auto" w:fill="FFFFFF"/>
        </w:rPr>
        <w:t xml:space="preserve">  </w:t>
      </w:r>
      <w:r>
        <w:rPr>
          <w:rStyle w:val="19"/>
          <w:rFonts w:hint="eastAsia"/>
          <w:sz w:val="24"/>
          <w:szCs w:val="24"/>
          <w:shd w:val="clear" w:color="auto" w:fill="FFFFFF"/>
        </w:rPr>
        <w:t>违约责任和免责条款</w:t>
      </w:r>
      <w:r>
        <w:rPr>
          <w:sz w:val="24"/>
          <w:szCs w:val="24"/>
        </w:rPr>
        <w:tab/>
      </w:r>
      <w:r>
        <w:rPr>
          <w:sz w:val="24"/>
          <w:szCs w:val="24"/>
        </w:rPr>
        <w:fldChar w:fldCharType="begin"/>
      </w:r>
      <w:r>
        <w:rPr>
          <w:sz w:val="24"/>
          <w:szCs w:val="24"/>
        </w:rPr>
        <w:instrText xml:space="preserve"> PAGEREF _Toc319934295 \h </w:instrText>
      </w:r>
      <w:r>
        <w:rPr>
          <w:sz w:val="24"/>
          <w:szCs w:val="24"/>
        </w:rPr>
        <w:fldChar w:fldCharType="separate"/>
      </w:r>
      <w:r>
        <w:rPr>
          <w:sz w:val="24"/>
          <w:szCs w:val="24"/>
        </w:rPr>
        <w:t>30</w:t>
      </w:r>
      <w:r>
        <w:rPr>
          <w:sz w:val="24"/>
          <w:szCs w:val="24"/>
        </w:rPr>
        <w:fldChar w:fldCharType="end"/>
      </w:r>
      <w:r>
        <w:rPr>
          <w:sz w:val="24"/>
          <w:szCs w:val="24"/>
        </w:rPr>
        <w:fldChar w:fldCharType="end"/>
      </w:r>
    </w:p>
    <w:p>
      <w:pPr>
        <w:pStyle w:val="13"/>
        <w:rPr>
          <w:rFonts w:ascii="Times New Roman" w:eastAsia="宋体"/>
          <w:b w:val="0"/>
          <w:sz w:val="24"/>
          <w:szCs w:val="24"/>
        </w:rPr>
      </w:pPr>
      <w:r>
        <w:rPr>
          <w:sz w:val="24"/>
          <w:szCs w:val="24"/>
        </w:rPr>
        <w:fldChar w:fldCharType="begin"/>
      </w:r>
      <w:r>
        <w:rPr>
          <w:rStyle w:val="19"/>
          <w:sz w:val="24"/>
          <w:szCs w:val="24"/>
        </w:rPr>
        <w:instrText xml:space="preserve"> </w:instrText>
      </w:r>
      <w:r>
        <w:rPr>
          <w:sz w:val="24"/>
          <w:szCs w:val="24"/>
        </w:rPr>
        <w:instrText xml:space="preserve">HYPERLINK \l "_Toc319934296"</w:instrText>
      </w:r>
      <w:r>
        <w:rPr>
          <w:rStyle w:val="19"/>
          <w:sz w:val="24"/>
          <w:szCs w:val="24"/>
        </w:rPr>
        <w:instrText xml:space="preserve"> </w:instrText>
      </w:r>
      <w:r>
        <w:rPr>
          <w:sz w:val="24"/>
          <w:szCs w:val="24"/>
        </w:rPr>
        <w:fldChar w:fldCharType="separate"/>
      </w:r>
      <w:r>
        <w:rPr>
          <w:rStyle w:val="19"/>
          <w:rFonts w:hint="eastAsia"/>
          <w:sz w:val="24"/>
          <w:szCs w:val="24"/>
          <w:shd w:val="clear" w:color="auto" w:fill="FFFFFF"/>
        </w:rPr>
        <w:t>第十七章</w:t>
      </w:r>
      <w:r>
        <w:rPr>
          <w:rStyle w:val="19"/>
          <w:sz w:val="24"/>
          <w:szCs w:val="24"/>
          <w:shd w:val="clear" w:color="auto" w:fill="FFFFFF"/>
        </w:rPr>
        <w:t xml:space="preserve">  </w:t>
      </w:r>
      <w:r>
        <w:rPr>
          <w:rStyle w:val="19"/>
          <w:rFonts w:hint="eastAsia"/>
          <w:sz w:val="24"/>
          <w:szCs w:val="24"/>
          <w:shd w:val="clear" w:color="auto" w:fill="FFFFFF"/>
        </w:rPr>
        <w:t>争议的处理</w:t>
      </w:r>
      <w:r>
        <w:rPr>
          <w:sz w:val="24"/>
          <w:szCs w:val="24"/>
        </w:rPr>
        <w:tab/>
      </w:r>
      <w:r>
        <w:rPr>
          <w:sz w:val="24"/>
          <w:szCs w:val="24"/>
        </w:rPr>
        <w:fldChar w:fldCharType="begin"/>
      </w:r>
      <w:r>
        <w:rPr>
          <w:sz w:val="24"/>
          <w:szCs w:val="24"/>
        </w:rPr>
        <w:instrText xml:space="preserve"> PAGEREF _Toc319934296 \h </w:instrText>
      </w:r>
      <w:r>
        <w:rPr>
          <w:sz w:val="24"/>
          <w:szCs w:val="24"/>
        </w:rPr>
        <w:fldChar w:fldCharType="separate"/>
      </w:r>
      <w:r>
        <w:rPr>
          <w:sz w:val="24"/>
          <w:szCs w:val="24"/>
        </w:rPr>
        <w:t>30</w:t>
      </w:r>
      <w:r>
        <w:rPr>
          <w:sz w:val="24"/>
          <w:szCs w:val="24"/>
        </w:rPr>
        <w:fldChar w:fldCharType="end"/>
      </w:r>
      <w:r>
        <w:rPr>
          <w:sz w:val="24"/>
          <w:szCs w:val="24"/>
        </w:rPr>
        <w:fldChar w:fldCharType="end"/>
      </w:r>
    </w:p>
    <w:p>
      <w:pPr>
        <w:pStyle w:val="13"/>
        <w:rPr>
          <w:rFonts w:ascii="Times New Roman" w:eastAsia="宋体"/>
          <w:b w:val="0"/>
          <w:sz w:val="24"/>
          <w:szCs w:val="24"/>
        </w:rPr>
      </w:pPr>
      <w:r>
        <w:rPr>
          <w:sz w:val="24"/>
          <w:szCs w:val="24"/>
        </w:rPr>
        <w:fldChar w:fldCharType="begin"/>
      </w:r>
      <w:r>
        <w:rPr>
          <w:rStyle w:val="19"/>
          <w:sz w:val="24"/>
          <w:szCs w:val="24"/>
        </w:rPr>
        <w:instrText xml:space="preserve"> </w:instrText>
      </w:r>
      <w:r>
        <w:rPr>
          <w:sz w:val="24"/>
          <w:szCs w:val="24"/>
        </w:rPr>
        <w:instrText xml:space="preserve">HYPERLINK \l "_Toc319934297"</w:instrText>
      </w:r>
      <w:r>
        <w:rPr>
          <w:rStyle w:val="19"/>
          <w:sz w:val="24"/>
          <w:szCs w:val="24"/>
        </w:rPr>
        <w:instrText xml:space="preserve"> </w:instrText>
      </w:r>
      <w:r>
        <w:rPr>
          <w:sz w:val="24"/>
          <w:szCs w:val="24"/>
        </w:rPr>
        <w:fldChar w:fldCharType="separate"/>
      </w:r>
      <w:r>
        <w:rPr>
          <w:rStyle w:val="19"/>
          <w:rFonts w:hint="eastAsia"/>
          <w:sz w:val="24"/>
          <w:szCs w:val="24"/>
          <w:shd w:val="clear" w:color="auto" w:fill="FFFFFF"/>
        </w:rPr>
        <w:t>第十八章</w:t>
      </w:r>
      <w:r>
        <w:rPr>
          <w:rStyle w:val="19"/>
          <w:sz w:val="24"/>
          <w:szCs w:val="24"/>
          <w:shd w:val="clear" w:color="auto" w:fill="FFFFFF"/>
        </w:rPr>
        <w:t xml:space="preserve">  </w:t>
      </w:r>
      <w:r>
        <w:rPr>
          <w:rStyle w:val="19"/>
          <w:rFonts w:hint="eastAsia"/>
          <w:sz w:val="24"/>
          <w:szCs w:val="24"/>
          <w:shd w:val="clear" w:color="auto" w:fill="FFFFFF"/>
        </w:rPr>
        <w:t>本合同的生效、期限、变更与终止</w:t>
      </w:r>
      <w:r>
        <w:rPr>
          <w:sz w:val="24"/>
          <w:szCs w:val="24"/>
        </w:rPr>
        <w:tab/>
      </w:r>
      <w:r>
        <w:rPr>
          <w:sz w:val="24"/>
          <w:szCs w:val="24"/>
        </w:rPr>
        <w:fldChar w:fldCharType="begin"/>
      </w:r>
      <w:r>
        <w:rPr>
          <w:sz w:val="24"/>
          <w:szCs w:val="24"/>
        </w:rPr>
        <w:instrText xml:space="preserve"> PAGEREF _Toc319934297 \h </w:instrText>
      </w:r>
      <w:r>
        <w:rPr>
          <w:sz w:val="24"/>
          <w:szCs w:val="24"/>
        </w:rPr>
        <w:fldChar w:fldCharType="separate"/>
      </w:r>
      <w:r>
        <w:rPr>
          <w:sz w:val="24"/>
          <w:szCs w:val="24"/>
        </w:rPr>
        <w:t>31</w:t>
      </w:r>
      <w:r>
        <w:rPr>
          <w:sz w:val="24"/>
          <w:szCs w:val="24"/>
        </w:rPr>
        <w:fldChar w:fldCharType="end"/>
      </w:r>
      <w:r>
        <w:rPr>
          <w:sz w:val="24"/>
          <w:szCs w:val="24"/>
        </w:rPr>
        <w:fldChar w:fldCharType="end"/>
      </w:r>
    </w:p>
    <w:p>
      <w:pPr>
        <w:pStyle w:val="13"/>
        <w:rPr>
          <w:rFonts w:ascii="Times New Roman" w:eastAsia="宋体"/>
          <w:b w:val="0"/>
          <w:sz w:val="24"/>
          <w:szCs w:val="24"/>
        </w:rPr>
      </w:pPr>
      <w:r>
        <w:rPr>
          <w:sz w:val="24"/>
          <w:szCs w:val="24"/>
        </w:rPr>
        <w:fldChar w:fldCharType="begin"/>
      </w:r>
      <w:r>
        <w:rPr>
          <w:rStyle w:val="19"/>
          <w:sz w:val="24"/>
          <w:szCs w:val="24"/>
        </w:rPr>
        <w:instrText xml:space="preserve"> </w:instrText>
      </w:r>
      <w:r>
        <w:rPr>
          <w:sz w:val="24"/>
          <w:szCs w:val="24"/>
        </w:rPr>
        <w:instrText xml:space="preserve">HYPERLINK \l "_Toc319934298"</w:instrText>
      </w:r>
      <w:r>
        <w:rPr>
          <w:rStyle w:val="19"/>
          <w:sz w:val="24"/>
          <w:szCs w:val="24"/>
        </w:rPr>
        <w:instrText xml:space="preserve"> </w:instrText>
      </w:r>
      <w:r>
        <w:rPr>
          <w:sz w:val="24"/>
          <w:szCs w:val="24"/>
        </w:rPr>
        <w:fldChar w:fldCharType="separate"/>
      </w:r>
      <w:r>
        <w:rPr>
          <w:rStyle w:val="19"/>
          <w:rFonts w:hint="eastAsia"/>
          <w:sz w:val="24"/>
          <w:szCs w:val="24"/>
          <w:shd w:val="clear" w:color="auto" w:fill="FFFFFF"/>
        </w:rPr>
        <w:t>第十九章</w:t>
      </w:r>
      <w:r>
        <w:rPr>
          <w:rStyle w:val="19"/>
          <w:sz w:val="24"/>
          <w:szCs w:val="24"/>
          <w:shd w:val="clear" w:color="auto" w:fill="FFFFFF"/>
        </w:rPr>
        <w:t xml:space="preserve">  </w:t>
      </w:r>
      <w:r>
        <w:rPr>
          <w:rStyle w:val="19"/>
          <w:rFonts w:hint="eastAsia"/>
          <w:sz w:val="24"/>
          <w:szCs w:val="24"/>
          <w:shd w:val="clear" w:color="auto" w:fill="FFFFFF"/>
        </w:rPr>
        <w:t>保密条款</w:t>
      </w:r>
      <w:r>
        <w:rPr>
          <w:sz w:val="24"/>
          <w:szCs w:val="24"/>
        </w:rPr>
        <w:tab/>
      </w:r>
      <w:r>
        <w:rPr>
          <w:sz w:val="24"/>
          <w:szCs w:val="24"/>
        </w:rPr>
        <w:fldChar w:fldCharType="begin"/>
      </w:r>
      <w:r>
        <w:rPr>
          <w:sz w:val="24"/>
          <w:szCs w:val="24"/>
        </w:rPr>
        <w:instrText xml:space="preserve"> PAGEREF _Toc319934298 \h </w:instrText>
      </w:r>
      <w:r>
        <w:rPr>
          <w:sz w:val="24"/>
          <w:szCs w:val="24"/>
        </w:rPr>
        <w:fldChar w:fldCharType="separate"/>
      </w:r>
      <w:r>
        <w:rPr>
          <w:sz w:val="24"/>
          <w:szCs w:val="24"/>
        </w:rPr>
        <w:t>34</w:t>
      </w:r>
      <w:r>
        <w:rPr>
          <w:sz w:val="24"/>
          <w:szCs w:val="24"/>
        </w:rPr>
        <w:fldChar w:fldCharType="end"/>
      </w:r>
      <w:r>
        <w:rPr>
          <w:sz w:val="24"/>
          <w:szCs w:val="24"/>
        </w:rPr>
        <w:fldChar w:fldCharType="end"/>
      </w:r>
    </w:p>
    <w:p>
      <w:pPr>
        <w:pStyle w:val="13"/>
        <w:rPr>
          <w:rFonts w:ascii="Times New Roman" w:eastAsia="宋体"/>
          <w:b w:val="0"/>
          <w:sz w:val="24"/>
          <w:szCs w:val="24"/>
        </w:rPr>
      </w:pPr>
      <w:r>
        <w:rPr>
          <w:sz w:val="24"/>
          <w:szCs w:val="24"/>
        </w:rPr>
        <w:fldChar w:fldCharType="begin"/>
      </w:r>
      <w:r>
        <w:rPr>
          <w:rStyle w:val="19"/>
          <w:sz w:val="24"/>
          <w:szCs w:val="24"/>
        </w:rPr>
        <w:instrText xml:space="preserve"> </w:instrText>
      </w:r>
      <w:r>
        <w:rPr>
          <w:sz w:val="24"/>
          <w:szCs w:val="24"/>
        </w:rPr>
        <w:instrText xml:space="preserve">HYPERLINK \l "_Toc319934299"</w:instrText>
      </w:r>
      <w:r>
        <w:rPr>
          <w:rStyle w:val="19"/>
          <w:sz w:val="24"/>
          <w:szCs w:val="24"/>
        </w:rPr>
        <w:instrText xml:space="preserve"> </w:instrText>
      </w:r>
      <w:r>
        <w:rPr>
          <w:sz w:val="24"/>
          <w:szCs w:val="24"/>
        </w:rPr>
        <w:fldChar w:fldCharType="separate"/>
      </w:r>
      <w:r>
        <w:rPr>
          <w:rStyle w:val="19"/>
          <w:rFonts w:hint="eastAsia"/>
          <w:sz w:val="24"/>
          <w:szCs w:val="24"/>
          <w:shd w:val="clear" w:color="auto" w:fill="FFFFFF"/>
        </w:rPr>
        <w:t>第二十章</w:t>
      </w:r>
      <w:r>
        <w:rPr>
          <w:rStyle w:val="19"/>
          <w:sz w:val="24"/>
          <w:szCs w:val="24"/>
          <w:shd w:val="clear" w:color="auto" w:fill="FFFFFF"/>
        </w:rPr>
        <w:t xml:space="preserve">  </w:t>
      </w:r>
      <w:r>
        <w:rPr>
          <w:rStyle w:val="19"/>
          <w:rFonts w:hint="eastAsia"/>
          <w:sz w:val="24"/>
          <w:szCs w:val="24"/>
          <w:shd w:val="clear" w:color="auto" w:fill="FFFFFF"/>
        </w:rPr>
        <w:t>通知与送达</w:t>
      </w:r>
      <w:r>
        <w:rPr>
          <w:sz w:val="24"/>
          <w:szCs w:val="24"/>
        </w:rPr>
        <w:tab/>
      </w:r>
      <w:r>
        <w:rPr>
          <w:sz w:val="24"/>
          <w:szCs w:val="24"/>
        </w:rPr>
        <w:fldChar w:fldCharType="begin"/>
      </w:r>
      <w:r>
        <w:rPr>
          <w:sz w:val="24"/>
          <w:szCs w:val="24"/>
        </w:rPr>
        <w:instrText xml:space="preserve"> PAGEREF _Toc319934299 \h </w:instrText>
      </w:r>
      <w:r>
        <w:rPr>
          <w:sz w:val="24"/>
          <w:szCs w:val="24"/>
        </w:rPr>
        <w:fldChar w:fldCharType="separate"/>
      </w:r>
      <w:r>
        <w:rPr>
          <w:sz w:val="24"/>
          <w:szCs w:val="24"/>
        </w:rPr>
        <w:t>34</w:t>
      </w:r>
      <w:r>
        <w:rPr>
          <w:sz w:val="24"/>
          <w:szCs w:val="24"/>
        </w:rPr>
        <w:fldChar w:fldCharType="end"/>
      </w:r>
      <w:r>
        <w:rPr>
          <w:sz w:val="24"/>
          <w:szCs w:val="24"/>
        </w:rPr>
        <w:fldChar w:fldCharType="end"/>
      </w:r>
    </w:p>
    <w:p>
      <w:pPr>
        <w:pStyle w:val="13"/>
        <w:rPr>
          <w:rFonts w:ascii="Times New Roman" w:eastAsia="宋体"/>
          <w:b w:val="0"/>
          <w:sz w:val="21"/>
          <w:szCs w:val="24"/>
        </w:rPr>
      </w:pPr>
      <w:r>
        <w:rPr>
          <w:sz w:val="24"/>
          <w:szCs w:val="24"/>
        </w:rPr>
        <w:fldChar w:fldCharType="begin"/>
      </w:r>
      <w:r>
        <w:rPr>
          <w:rStyle w:val="19"/>
          <w:sz w:val="24"/>
          <w:szCs w:val="24"/>
        </w:rPr>
        <w:instrText xml:space="preserve"> </w:instrText>
      </w:r>
      <w:r>
        <w:rPr>
          <w:sz w:val="24"/>
          <w:szCs w:val="24"/>
        </w:rPr>
        <w:instrText xml:space="preserve">HYPERLINK \l "_Toc319934300"</w:instrText>
      </w:r>
      <w:r>
        <w:rPr>
          <w:rStyle w:val="19"/>
          <w:sz w:val="24"/>
          <w:szCs w:val="24"/>
        </w:rPr>
        <w:instrText xml:space="preserve"> </w:instrText>
      </w:r>
      <w:r>
        <w:rPr>
          <w:sz w:val="24"/>
          <w:szCs w:val="24"/>
        </w:rPr>
        <w:fldChar w:fldCharType="separate"/>
      </w:r>
      <w:r>
        <w:rPr>
          <w:rStyle w:val="19"/>
          <w:rFonts w:hint="eastAsia"/>
          <w:sz w:val="24"/>
          <w:szCs w:val="24"/>
          <w:shd w:val="clear" w:color="auto" w:fill="FFFFFF"/>
        </w:rPr>
        <w:t>第二十一章</w:t>
      </w:r>
      <w:r>
        <w:rPr>
          <w:rStyle w:val="19"/>
          <w:sz w:val="24"/>
          <w:szCs w:val="24"/>
          <w:shd w:val="clear" w:color="auto" w:fill="FFFFFF"/>
        </w:rPr>
        <w:t xml:space="preserve">  </w:t>
      </w:r>
      <w:r>
        <w:rPr>
          <w:rStyle w:val="19"/>
          <w:rFonts w:hint="eastAsia"/>
          <w:sz w:val="24"/>
          <w:szCs w:val="24"/>
          <w:shd w:val="clear" w:color="auto" w:fill="FFFFFF"/>
        </w:rPr>
        <w:t>其他事项</w:t>
      </w:r>
      <w:r>
        <w:rPr>
          <w:sz w:val="24"/>
          <w:szCs w:val="24"/>
        </w:rPr>
        <w:tab/>
      </w:r>
      <w:r>
        <w:rPr>
          <w:sz w:val="24"/>
          <w:szCs w:val="24"/>
        </w:rPr>
        <w:fldChar w:fldCharType="begin"/>
      </w:r>
      <w:r>
        <w:rPr>
          <w:sz w:val="24"/>
          <w:szCs w:val="24"/>
        </w:rPr>
        <w:instrText xml:space="preserve"> PAGEREF _Toc319934300 \h </w:instrText>
      </w:r>
      <w:r>
        <w:rPr>
          <w:sz w:val="24"/>
          <w:szCs w:val="24"/>
        </w:rPr>
        <w:fldChar w:fldCharType="separate"/>
      </w:r>
      <w:r>
        <w:rPr>
          <w:sz w:val="24"/>
          <w:szCs w:val="24"/>
        </w:rPr>
        <w:t>35</w:t>
      </w:r>
      <w:r>
        <w:rPr>
          <w:sz w:val="24"/>
          <w:szCs w:val="24"/>
        </w:rPr>
        <w:fldChar w:fldCharType="end"/>
      </w:r>
      <w:r>
        <w:rPr>
          <w:sz w:val="24"/>
          <w:szCs w:val="24"/>
        </w:rPr>
        <w:fldChar w:fldCharType="end"/>
      </w:r>
    </w:p>
    <w:p>
      <w:pPr>
        <w:pStyle w:val="13"/>
        <w:rPr>
          <w:rFonts w:hint="eastAsia"/>
          <w:kern w:val="0"/>
          <w:shd w:val="clear" w:color="auto" w:fill="FFFFFF"/>
        </w:rPr>
      </w:pPr>
      <w:r>
        <w:rPr>
          <w:rFonts w:hint="eastAsia"/>
          <w:b w:val="0"/>
          <w:sz w:val="24"/>
          <w:szCs w:val="24"/>
        </w:rPr>
        <w:fldChar w:fldCharType="end"/>
      </w:r>
    </w:p>
    <w:p>
      <w:pPr>
        <w:spacing w:line="520" w:lineRule="exact"/>
        <w:ind w:left="-2" w:leftChars="-1" w:firstLine="560" w:firstLineChars="200"/>
        <w:rPr>
          <w:rFonts w:hint="eastAsia" w:ascii="仿宋_GB2312" w:eastAsia="仿宋_GB2312"/>
          <w:kern w:val="0"/>
          <w:sz w:val="28"/>
          <w:szCs w:val="28"/>
          <w:shd w:val="clear" w:color="auto" w:fill="FFFFFF"/>
        </w:rPr>
        <w:sectPr>
          <w:footerReference r:id="rId5" w:type="first"/>
          <w:headerReference r:id="rId3" w:type="default"/>
          <w:footerReference r:id="rId4" w:type="even"/>
          <w:pgSz w:w="11906" w:h="16838"/>
          <w:pgMar w:top="1440" w:right="1797" w:bottom="1440" w:left="1797" w:header="851" w:footer="992" w:gutter="0"/>
          <w:pgNumType w:start="1"/>
          <w:cols w:space="720" w:num="1"/>
          <w:titlePg/>
          <w:docGrid w:type="lines" w:linePitch="312" w:charSpace="0"/>
        </w:sectPr>
      </w:pPr>
    </w:p>
    <w:p>
      <w:pPr>
        <w:pStyle w:val="2"/>
        <w:jc w:val="center"/>
        <w:rPr>
          <w:rFonts w:hint="eastAsia" w:ascii="黑体" w:hAnsi="黑体" w:eastAsia="黑体"/>
          <w:b w:val="0"/>
          <w:bCs w:val="0"/>
          <w:sz w:val="28"/>
          <w:szCs w:val="28"/>
          <w:shd w:val="clear" w:color="auto" w:fill="FFFFFF"/>
        </w:rPr>
      </w:pPr>
      <w:bookmarkStart w:id="1" w:name="_Toc319934279"/>
      <w:bookmarkStart w:id="2" w:name="_Toc293332597"/>
      <w:r>
        <w:rPr>
          <w:rFonts w:hint="eastAsia" w:ascii="黑体" w:hAnsi="黑体" w:eastAsia="黑体"/>
          <w:b w:val="0"/>
          <w:bCs w:val="0"/>
          <w:sz w:val="28"/>
          <w:szCs w:val="28"/>
          <w:shd w:val="clear" w:color="auto" w:fill="FFFFFF"/>
        </w:rPr>
        <w:t>前   言</w:t>
      </w:r>
      <w:bookmarkEnd w:id="1"/>
    </w:p>
    <w:p>
      <w:pPr>
        <w:spacing w:line="360" w:lineRule="auto"/>
        <w:ind w:firstLine="560" w:firstLineChars="200"/>
        <w:rPr>
          <w:rFonts w:hint="eastAsia" w:ascii="仿宋_GB2312" w:eastAsia="仿宋_GB2312"/>
          <w:sz w:val="28"/>
          <w:szCs w:val="28"/>
          <w:shd w:val="clear" w:color="auto" w:fill="FFFFFF"/>
        </w:rPr>
      </w:pPr>
      <w:r>
        <w:rPr>
          <w:rFonts w:hint="eastAsia" w:ascii="仿宋_GB2312" w:eastAsia="仿宋_GB2312"/>
          <w:sz w:val="28"/>
          <w:szCs w:val="28"/>
          <w:shd w:val="clear" w:color="auto" w:fill="FFFFFF"/>
        </w:rPr>
        <w:t>为规范企业年金基金的运作，维护甲乙双方及受益人的合法权益，明确甲乙双方的权利义务，依据《中华人民共和国信托法》、</w:t>
      </w:r>
      <w:r>
        <w:rPr>
          <w:rFonts w:hint="eastAsia" w:ascii="仿宋_GB2312" w:hAnsi="宋体" w:eastAsia="仿宋_GB2312"/>
          <w:color w:val="000000"/>
          <w:kern w:val="0"/>
          <w:sz w:val="28"/>
          <w:szCs w:val="28"/>
          <w:shd w:val="clear" w:color="auto" w:fill="FFFFFF"/>
        </w:rPr>
        <w:t>《中华人民共和国合同法》</w:t>
      </w:r>
      <w:r>
        <w:rPr>
          <w:rFonts w:hint="eastAsia" w:ascii="仿宋_GB2312" w:eastAsia="仿宋_GB2312"/>
          <w:sz w:val="28"/>
          <w:szCs w:val="28"/>
          <w:shd w:val="clear" w:color="auto" w:fill="FFFFFF"/>
        </w:rPr>
        <w:t>、《企业年金试行办法》（劳动和社会保障部令第20号）、《企业年金基金管理办法》（人力资源和社会保障部令第11号）等法律法规规定，在平等自愿和诚实信用的基础上，甲乙双方签订《</w:t>
      </w:r>
      <w:r>
        <w:rPr>
          <w:rFonts w:hint="eastAsia" w:ascii="仿宋_GB2312" w:hAnsi="宋体" w:eastAsia="仿宋_GB2312"/>
          <w:sz w:val="28"/>
          <w:szCs w:val="28"/>
          <w:u w:val="single"/>
          <w:shd w:val="clear" w:color="auto" w:fill="FFFFFF"/>
        </w:rPr>
        <w:t xml:space="preserve">    </w:t>
      </w:r>
      <w:r>
        <w:rPr>
          <w:rFonts w:hint="eastAsia" w:ascii="仿宋_GB2312" w:hAnsi="宋体" w:eastAsia="仿宋_GB2312"/>
          <w:sz w:val="28"/>
          <w:szCs w:val="28"/>
          <w:shd w:val="clear" w:color="auto" w:fill="FFFFFF"/>
        </w:rPr>
        <w:t>企业年金计划投资管理合同</w:t>
      </w:r>
      <w:r>
        <w:rPr>
          <w:rFonts w:hint="eastAsia" w:ascii="仿宋_GB2312" w:eastAsia="仿宋_GB2312"/>
          <w:sz w:val="28"/>
          <w:szCs w:val="28"/>
          <w:shd w:val="clear" w:color="auto" w:fill="FFFFFF"/>
        </w:rPr>
        <w:t>》（以下简称“本合同”）。</w:t>
      </w:r>
    </w:p>
    <w:p>
      <w:pPr>
        <w:pStyle w:val="2"/>
        <w:ind w:firstLine="3080" w:firstLineChars="1100"/>
        <w:rPr>
          <w:rFonts w:hint="eastAsia" w:ascii="黑体" w:hAnsi="黑体" w:eastAsia="黑体"/>
          <w:b w:val="0"/>
          <w:bCs w:val="0"/>
          <w:sz w:val="28"/>
          <w:szCs w:val="28"/>
          <w:shd w:val="clear" w:color="auto" w:fill="FFFFFF"/>
        </w:rPr>
      </w:pPr>
      <w:bookmarkStart w:id="3" w:name="_Toc319934280"/>
      <w:r>
        <w:rPr>
          <w:rFonts w:hint="eastAsia" w:ascii="黑体" w:hAnsi="黑体" w:eastAsia="黑体"/>
          <w:b w:val="0"/>
          <w:bCs w:val="0"/>
          <w:sz w:val="28"/>
          <w:szCs w:val="28"/>
          <w:shd w:val="clear" w:color="auto" w:fill="FFFFFF"/>
        </w:rPr>
        <w:t>第一章　定义</w:t>
      </w:r>
      <w:bookmarkEnd w:id="2"/>
      <w:bookmarkEnd w:id="3"/>
    </w:p>
    <w:p>
      <w:pPr>
        <w:spacing w:line="360" w:lineRule="auto"/>
        <w:ind w:firstLine="560" w:firstLineChars="200"/>
        <w:rPr>
          <w:rFonts w:hint="eastAsia" w:ascii="仿宋_GB2312" w:hAnsi="宋体" w:eastAsia="仿宋_GB2312"/>
          <w:color w:val="000000"/>
          <w:kern w:val="0"/>
          <w:sz w:val="28"/>
          <w:szCs w:val="28"/>
          <w:shd w:val="clear" w:color="auto" w:fill="FFFFFF"/>
        </w:rPr>
      </w:pPr>
      <w:r>
        <w:rPr>
          <w:rFonts w:hint="eastAsia" w:ascii="仿宋_GB2312" w:hAnsi="宋体" w:eastAsia="仿宋_GB2312"/>
          <w:color w:val="000000"/>
          <w:kern w:val="0"/>
          <w:sz w:val="28"/>
          <w:szCs w:val="28"/>
          <w:shd w:val="clear" w:color="auto" w:fill="FFFFFF"/>
        </w:rPr>
        <w:t>在本合同中，除上下文另有解释外，下列词语应当具有如下含义：</w:t>
      </w:r>
    </w:p>
    <w:p>
      <w:pPr>
        <w:spacing w:line="360" w:lineRule="auto"/>
        <w:ind w:firstLine="560" w:firstLineChars="200"/>
        <w:rPr>
          <w:rFonts w:hint="eastAsia" w:ascii="仿宋_GB2312" w:hAnsi="宋体" w:eastAsia="仿宋_GB2312"/>
          <w:color w:val="000000"/>
          <w:kern w:val="0"/>
          <w:sz w:val="28"/>
          <w:szCs w:val="28"/>
          <w:shd w:val="clear" w:color="auto" w:fill="FFFFFF"/>
        </w:rPr>
      </w:pPr>
      <w:r>
        <w:rPr>
          <w:rFonts w:hint="eastAsia" w:ascii="仿宋_GB2312" w:hAnsi="宋体" w:eastAsia="仿宋_GB2312"/>
          <w:color w:val="000000"/>
          <w:kern w:val="0"/>
          <w:sz w:val="28"/>
          <w:szCs w:val="28"/>
          <w:shd w:val="clear" w:color="auto" w:fill="FFFFFF"/>
        </w:rPr>
        <w:t>1.1  企业年金：指企业及其职工在依法参加基本养老保险的基础上，自愿建立的补充养老保险制度。</w:t>
      </w:r>
    </w:p>
    <w:p>
      <w:pPr>
        <w:spacing w:line="360" w:lineRule="auto"/>
        <w:ind w:firstLine="560" w:firstLineChars="200"/>
        <w:rPr>
          <w:rFonts w:ascii="仿宋_GB2312" w:eastAsia="仿宋_GB2312"/>
          <w:sz w:val="28"/>
          <w:szCs w:val="28"/>
        </w:rPr>
      </w:pPr>
      <w:r>
        <w:rPr>
          <w:rFonts w:hint="eastAsia" w:ascii="仿宋_GB2312" w:hAnsi="宋体" w:eastAsia="仿宋_GB2312"/>
          <w:color w:val="000000"/>
          <w:kern w:val="0"/>
          <w:sz w:val="28"/>
          <w:szCs w:val="28"/>
          <w:shd w:val="clear" w:color="auto" w:fill="FFFFFF"/>
        </w:rPr>
        <w:t>1.2  企业年金方案：</w:t>
      </w:r>
      <w:r>
        <w:rPr>
          <w:rFonts w:hint="eastAsia" w:ascii="仿宋_GB2312" w:eastAsia="仿宋_GB2312"/>
          <w:sz w:val="28"/>
          <w:szCs w:val="28"/>
        </w:rPr>
        <w:t>指由</w:t>
      </w:r>
      <w:r>
        <w:rPr>
          <w:rFonts w:hint="eastAsia" w:ascii="仿宋_GB2312" w:hAnsi="宋体" w:eastAsia="仿宋_GB2312"/>
          <w:sz w:val="28"/>
          <w:szCs w:val="28"/>
          <w:u w:val="single"/>
        </w:rPr>
        <w:t xml:space="preserve">    </w:t>
      </w:r>
      <w:r>
        <w:rPr>
          <w:rFonts w:hint="eastAsia" w:ascii="仿宋_GB2312" w:eastAsia="仿宋_GB2312"/>
          <w:sz w:val="28"/>
          <w:szCs w:val="28"/>
        </w:rPr>
        <w:t>公司发起、</w:t>
      </w:r>
      <w:r>
        <w:rPr>
          <w:rFonts w:hint="eastAsia" w:ascii="仿宋_GB2312" w:hAnsi="宋体" w:eastAsia="仿宋_GB2312"/>
          <w:sz w:val="28"/>
          <w:szCs w:val="28"/>
          <w:u w:val="single"/>
        </w:rPr>
        <w:t xml:space="preserve">    </w:t>
      </w:r>
      <w:r>
        <w:rPr>
          <w:rFonts w:hint="eastAsia" w:ascii="仿宋_GB2312" w:eastAsia="仿宋_GB2312"/>
          <w:sz w:val="28"/>
          <w:szCs w:val="28"/>
        </w:rPr>
        <w:t>公司职工参与、经过</w:t>
      </w:r>
      <w:r>
        <w:rPr>
          <w:rFonts w:hint="eastAsia" w:ascii="仿宋_GB2312" w:hAnsi="宋体" w:eastAsia="仿宋_GB2312"/>
          <w:sz w:val="28"/>
          <w:szCs w:val="28"/>
          <w:u w:val="single"/>
        </w:rPr>
        <w:t xml:space="preserve">    </w:t>
      </w:r>
      <w:r>
        <w:rPr>
          <w:rFonts w:hint="eastAsia" w:ascii="仿宋_GB2312" w:eastAsia="仿宋_GB2312"/>
          <w:sz w:val="28"/>
          <w:szCs w:val="28"/>
        </w:rPr>
        <w:t>公司和</w:t>
      </w:r>
      <w:r>
        <w:rPr>
          <w:rFonts w:hint="eastAsia" w:ascii="仿宋_GB2312" w:hAnsi="宋体" w:eastAsia="仿宋_GB2312"/>
          <w:sz w:val="28"/>
          <w:szCs w:val="28"/>
          <w:u w:val="single"/>
        </w:rPr>
        <w:t xml:space="preserve">    </w:t>
      </w:r>
      <w:r>
        <w:rPr>
          <w:rFonts w:hint="eastAsia" w:ascii="仿宋_GB2312" w:eastAsia="仿宋_GB2312"/>
          <w:sz w:val="28"/>
          <w:szCs w:val="28"/>
        </w:rPr>
        <w:t>公司职工的集体协商，并经人力资源社会保障行政部门审核备案的具有法律效力的文件，内容包括参加人员范围，资金筹集方式，个人账户管理方式，基金管理方式，企业年金待遇计发办法、支付方式、支付条件，组织管理和监督方式，中止缴费的条件及双方约定的其他事项等。</w:t>
      </w:r>
    </w:p>
    <w:p>
      <w:pPr>
        <w:spacing w:line="360" w:lineRule="auto"/>
        <w:ind w:firstLine="560" w:firstLineChars="200"/>
        <w:rPr>
          <w:rFonts w:hint="eastAsia" w:ascii="仿宋_GB2312" w:hAnsi="宋体" w:eastAsia="仿宋_GB2312"/>
          <w:color w:val="000000"/>
          <w:kern w:val="0"/>
          <w:sz w:val="28"/>
          <w:szCs w:val="28"/>
          <w:shd w:val="clear" w:color="auto" w:fill="FFFFFF"/>
        </w:rPr>
      </w:pPr>
      <w:r>
        <w:rPr>
          <w:rFonts w:hint="eastAsia" w:ascii="仿宋_GB2312" w:hAnsi="宋体" w:eastAsia="仿宋_GB2312"/>
          <w:color w:val="000000"/>
          <w:kern w:val="0"/>
          <w:sz w:val="28"/>
          <w:szCs w:val="28"/>
          <w:shd w:val="clear" w:color="auto" w:fill="FFFFFF"/>
        </w:rPr>
        <w:t>1.3  企业年金计划：由企业年金方案和企业年金基金管理合同等法律文件组成。</w:t>
      </w:r>
    </w:p>
    <w:p>
      <w:pPr>
        <w:spacing w:line="360" w:lineRule="auto"/>
        <w:ind w:firstLine="560" w:firstLineChars="200"/>
        <w:rPr>
          <w:rFonts w:hint="eastAsia" w:ascii="仿宋_GB2312" w:hAnsi="宋体" w:eastAsia="仿宋_GB2312"/>
          <w:color w:val="000000"/>
          <w:kern w:val="0"/>
          <w:sz w:val="28"/>
          <w:szCs w:val="28"/>
          <w:shd w:val="clear" w:color="auto" w:fill="FFFFFF"/>
        </w:rPr>
      </w:pPr>
      <w:r>
        <w:rPr>
          <w:rFonts w:hint="eastAsia" w:ascii="仿宋_GB2312" w:hAnsi="宋体" w:eastAsia="仿宋_GB2312"/>
          <w:color w:val="000000"/>
          <w:kern w:val="0"/>
          <w:sz w:val="28"/>
          <w:szCs w:val="28"/>
          <w:shd w:val="clear" w:color="auto" w:fill="FFFFFF"/>
        </w:rPr>
        <w:t>1.4  企业年金基金财产：</w:t>
      </w:r>
      <w:r>
        <w:rPr>
          <w:rFonts w:hint="eastAsia" w:ascii="仿宋_GB2312" w:hAnsi="宋体" w:eastAsia="仿宋_GB2312"/>
          <w:sz w:val="28"/>
          <w:szCs w:val="28"/>
        </w:rPr>
        <w:t>指</w:t>
      </w:r>
      <w:r>
        <w:rPr>
          <w:rFonts w:hint="eastAsia" w:ascii="仿宋_GB2312" w:hAnsi="宋体" w:eastAsia="仿宋_GB2312"/>
          <w:sz w:val="28"/>
          <w:szCs w:val="28"/>
          <w:u w:val="single"/>
        </w:rPr>
        <w:t xml:space="preserve">    </w:t>
      </w:r>
      <w:r>
        <w:rPr>
          <w:rFonts w:hint="eastAsia" w:ascii="仿宋_GB2312" w:eastAsia="仿宋_GB2312"/>
          <w:sz w:val="28"/>
          <w:szCs w:val="28"/>
        </w:rPr>
        <w:t>公司</w:t>
      </w:r>
      <w:r>
        <w:rPr>
          <w:rFonts w:hint="eastAsia" w:ascii="仿宋_GB2312" w:hAnsi="宋体" w:eastAsia="仿宋_GB2312"/>
          <w:sz w:val="28"/>
          <w:szCs w:val="28"/>
        </w:rPr>
        <w:t>及其职工根据企业年金方案归集的资金及其投资运营收益形成的企业补充养老保险基金。</w:t>
      </w:r>
    </w:p>
    <w:p>
      <w:pPr>
        <w:spacing w:line="360" w:lineRule="auto"/>
        <w:ind w:firstLine="560" w:firstLineChars="200"/>
        <w:rPr>
          <w:rFonts w:hint="eastAsia" w:ascii="仿宋_GB2312" w:hAnsi="宋体" w:eastAsia="仿宋_GB2312"/>
          <w:color w:val="000000"/>
          <w:kern w:val="0"/>
          <w:sz w:val="28"/>
          <w:szCs w:val="28"/>
          <w:shd w:val="clear" w:color="auto" w:fill="FFFFFF"/>
        </w:rPr>
      </w:pPr>
      <w:r>
        <w:rPr>
          <w:rFonts w:hint="eastAsia" w:ascii="仿宋_GB2312" w:hAnsi="宋体" w:eastAsia="仿宋_GB2312"/>
          <w:color w:val="000000"/>
          <w:kern w:val="0"/>
          <w:sz w:val="28"/>
          <w:szCs w:val="28"/>
          <w:shd w:val="clear" w:color="auto" w:fill="FFFFFF"/>
        </w:rPr>
        <w:t>1.5  委托投资资产：指企业年金基金财产中已委托给乙方投资的资产。</w:t>
      </w:r>
    </w:p>
    <w:p>
      <w:pPr>
        <w:spacing w:line="360" w:lineRule="auto"/>
        <w:ind w:firstLine="560" w:firstLineChars="200"/>
        <w:rPr>
          <w:rFonts w:hint="eastAsia" w:ascii="仿宋_GB2312" w:hAnsi="宋体" w:eastAsia="仿宋_GB2312"/>
          <w:color w:val="000000"/>
          <w:kern w:val="0"/>
          <w:sz w:val="28"/>
          <w:szCs w:val="28"/>
          <w:shd w:val="clear" w:color="auto" w:fill="FFFFFF"/>
        </w:rPr>
      </w:pPr>
      <w:r>
        <w:rPr>
          <w:rFonts w:hint="eastAsia" w:ascii="仿宋_GB2312" w:hAnsi="宋体" w:eastAsia="仿宋_GB2312"/>
          <w:color w:val="000000"/>
          <w:kern w:val="0"/>
          <w:sz w:val="28"/>
          <w:szCs w:val="28"/>
          <w:shd w:val="clear" w:color="auto" w:fill="FFFFFF"/>
        </w:rPr>
        <w:t>1.6  委托人：</w:t>
      </w:r>
      <w:r>
        <w:rPr>
          <w:rFonts w:hint="eastAsia" w:ascii="仿宋_GB2312" w:hAnsi="宋体" w:eastAsia="仿宋_GB2312"/>
          <w:color w:val="000000"/>
          <w:kern w:val="0"/>
          <w:sz w:val="28"/>
          <w:szCs w:val="28"/>
        </w:rPr>
        <w:t>指建立企业年金计划的</w:t>
      </w:r>
      <w:r>
        <w:rPr>
          <w:rFonts w:hint="eastAsia" w:ascii="仿宋_GB2312" w:hAnsi="宋体" w:eastAsia="仿宋_GB2312"/>
          <w:sz w:val="28"/>
          <w:szCs w:val="28"/>
          <w:u w:val="single"/>
        </w:rPr>
        <w:t xml:space="preserve">    </w:t>
      </w:r>
      <w:r>
        <w:rPr>
          <w:rFonts w:hint="eastAsia" w:ascii="仿宋_GB2312" w:hAnsi="宋体" w:eastAsia="仿宋_GB2312"/>
          <w:color w:val="000000"/>
          <w:kern w:val="0"/>
          <w:sz w:val="28"/>
          <w:szCs w:val="28"/>
        </w:rPr>
        <w:t>公司及其职工。</w:t>
      </w:r>
      <w:r>
        <w:rPr>
          <w:rFonts w:ascii="仿宋_GB2312" w:hAnsi="宋体" w:eastAsia="仿宋_GB2312"/>
          <w:color w:val="000000"/>
          <w:kern w:val="0"/>
          <w:sz w:val="28"/>
          <w:szCs w:val="28"/>
        </w:rPr>
        <w:t>本合同中</w:t>
      </w:r>
      <w:r>
        <w:rPr>
          <w:rFonts w:hint="eastAsia" w:ascii="仿宋_GB2312" w:hAnsi="宋体" w:eastAsia="仿宋_GB2312"/>
          <w:sz w:val="28"/>
          <w:szCs w:val="28"/>
          <w:u w:val="single"/>
        </w:rPr>
        <w:t xml:space="preserve">    </w:t>
      </w:r>
      <w:r>
        <w:rPr>
          <w:rFonts w:ascii="仿宋_GB2312" w:hAnsi="宋体" w:eastAsia="仿宋_GB2312"/>
          <w:color w:val="000000"/>
          <w:kern w:val="0"/>
          <w:sz w:val="28"/>
          <w:szCs w:val="28"/>
        </w:rPr>
        <w:t>公司代表委托人行使委托人的权利义务。</w:t>
      </w:r>
    </w:p>
    <w:p>
      <w:pPr>
        <w:spacing w:line="360" w:lineRule="auto"/>
        <w:ind w:firstLine="560" w:firstLineChars="200"/>
        <w:rPr>
          <w:rFonts w:hint="eastAsia" w:ascii="仿宋_GB2312" w:hAnsi="宋体" w:eastAsia="仿宋_GB2312"/>
          <w:color w:val="000000"/>
          <w:kern w:val="0"/>
          <w:sz w:val="28"/>
          <w:szCs w:val="28"/>
          <w:shd w:val="clear" w:color="auto" w:fill="FFFFFF"/>
        </w:rPr>
      </w:pPr>
      <w:r>
        <w:rPr>
          <w:rFonts w:hint="eastAsia" w:ascii="仿宋_GB2312" w:hAnsi="宋体" w:eastAsia="仿宋_GB2312"/>
          <w:color w:val="000000"/>
          <w:kern w:val="0"/>
          <w:sz w:val="28"/>
          <w:szCs w:val="28"/>
          <w:shd w:val="clear" w:color="auto" w:fill="FFFFFF"/>
        </w:rPr>
        <w:t>1.7  受益人：指按照企业年金方案规定，参加企业年金计划的公司职工及其他享有企业年金计划受益权的自然人。</w:t>
      </w:r>
    </w:p>
    <w:p>
      <w:pPr>
        <w:spacing w:line="360" w:lineRule="auto"/>
        <w:ind w:firstLine="560" w:firstLineChars="200"/>
        <w:rPr>
          <w:rFonts w:hint="eastAsia" w:ascii="仿宋_GB2312" w:hAnsi="宋体" w:eastAsia="仿宋_GB2312"/>
          <w:color w:val="000000"/>
          <w:kern w:val="0"/>
          <w:sz w:val="28"/>
          <w:szCs w:val="28"/>
          <w:shd w:val="clear" w:color="auto" w:fill="FFFFFF"/>
        </w:rPr>
      </w:pPr>
      <w:r>
        <w:rPr>
          <w:rFonts w:hint="eastAsia" w:ascii="仿宋_GB2312" w:hAnsi="宋体" w:eastAsia="仿宋_GB2312"/>
          <w:color w:val="000000"/>
          <w:kern w:val="0"/>
          <w:sz w:val="28"/>
          <w:szCs w:val="28"/>
          <w:shd w:val="clear" w:color="auto" w:fill="FFFFFF"/>
        </w:rPr>
        <w:t>1.8  受托人：指受托管理企业年金基金的符合国家规定的养老金管理公司等法人受托机构。本合同中特指甲方。</w:t>
      </w:r>
    </w:p>
    <w:p>
      <w:pPr>
        <w:spacing w:line="360" w:lineRule="auto"/>
        <w:ind w:firstLine="560" w:firstLineChars="200"/>
        <w:rPr>
          <w:rFonts w:hint="eastAsia" w:ascii="仿宋_GB2312" w:hAnsi="宋体" w:eastAsia="仿宋_GB2312"/>
          <w:color w:val="000000"/>
          <w:kern w:val="0"/>
          <w:sz w:val="28"/>
          <w:szCs w:val="28"/>
          <w:shd w:val="clear" w:color="auto" w:fill="FFFFFF"/>
        </w:rPr>
      </w:pPr>
      <w:r>
        <w:rPr>
          <w:rFonts w:hint="eastAsia" w:ascii="仿宋_GB2312" w:hAnsi="宋体" w:eastAsia="仿宋_GB2312"/>
          <w:color w:val="000000"/>
          <w:kern w:val="0"/>
          <w:sz w:val="28"/>
          <w:szCs w:val="28"/>
          <w:shd w:val="clear" w:color="auto" w:fill="FFFFFF"/>
        </w:rPr>
        <w:t>1.9  投资管理人：指接受受托人委托投资管理企业年金基金财产的符合国家规定的专业机构。本合同中特指乙方。</w:t>
      </w:r>
    </w:p>
    <w:p>
      <w:pPr>
        <w:spacing w:line="360" w:lineRule="auto"/>
        <w:ind w:firstLine="560" w:firstLineChars="200"/>
        <w:rPr>
          <w:rFonts w:hint="eastAsia" w:ascii="仿宋_GB2312" w:hAnsi="宋体" w:eastAsia="仿宋_GB2312"/>
          <w:color w:val="000000"/>
          <w:kern w:val="0"/>
          <w:sz w:val="28"/>
          <w:szCs w:val="28"/>
          <w:shd w:val="clear" w:color="auto" w:fill="FFFFFF"/>
        </w:rPr>
      </w:pPr>
      <w:r>
        <w:rPr>
          <w:rFonts w:hint="eastAsia" w:ascii="仿宋_GB2312" w:hAnsi="宋体" w:eastAsia="仿宋_GB2312"/>
          <w:color w:val="000000"/>
          <w:kern w:val="0"/>
          <w:sz w:val="28"/>
          <w:szCs w:val="28"/>
          <w:shd w:val="clear" w:color="auto" w:fill="FFFFFF"/>
        </w:rPr>
        <w:t>1.10  账户管理人：指接受受托人委托管理企业年金基金账户的符合国家规定的专业机构。</w:t>
      </w:r>
    </w:p>
    <w:p>
      <w:pPr>
        <w:spacing w:line="360" w:lineRule="auto"/>
        <w:ind w:firstLine="560" w:firstLineChars="200"/>
        <w:rPr>
          <w:rFonts w:hint="eastAsia" w:ascii="仿宋_GB2312" w:hAnsi="宋体" w:eastAsia="仿宋_GB2312"/>
          <w:color w:val="000000"/>
          <w:kern w:val="0"/>
          <w:sz w:val="28"/>
          <w:szCs w:val="28"/>
          <w:shd w:val="clear" w:color="auto" w:fill="FFFFFF"/>
        </w:rPr>
      </w:pPr>
      <w:r>
        <w:rPr>
          <w:rFonts w:hint="eastAsia" w:ascii="仿宋_GB2312" w:hAnsi="宋体" w:eastAsia="仿宋_GB2312"/>
          <w:color w:val="000000"/>
          <w:kern w:val="0"/>
          <w:sz w:val="28"/>
          <w:szCs w:val="28"/>
          <w:shd w:val="clear" w:color="auto" w:fill="FFFFFF"/>
        </w:rPr>
        <w:t>1.11  托管人：指接受受托人委托保管企业年金基金财产的符合国家规定的商业银行。</w:t>
      </w:r>
    </w:p>
    <w:p>
      <w:pPr>
        <w:spacing w:line="360" w:lineRule="auto"/>
        <w:ind w:firstLine="560" w:firstLineChars="200"/>
        <w:rPr>
          <w:rFonts w:hint="eastAsia" w:ascii="仿宋_GB2312" w:hAnsi="宋体" w:eastAsia="仿宋_GB2312"/>
          <w:color w:val="000000"/>
          <w:kern w:val="0"/>
          <w:sz w:val="28"/>
          <w:szCs w:val="28"/>
          <w:shd w:val="clear" w:color="auto" w:fill="FFFFFF"/>
        </w:rPr>
      </w:pPr>
      <w:r>
        <w:rPr>
          <w:rFonts w:hint="eastAsia" w:ascii="仿宋_GB2312" w:hAnsi="宋体" w:eastAsia="仿宋_GB2312"/>
          <w:color w:val="000000"/>
          <w:kern w:val="0"/>
          <w:sz w:val="28"/>
          <w:szCs w:val="28"/>
          <w:shd w:val="clear" w:color="auto" w:fill="FFFFFF"/>
        </w:rPr>
        <w:t>1.12  投资管理合同：指甲方与乙方签订的《</w:t>
      </w:r>
      <w:r>
        <w:rPr>
          <w:rFonts w:hint="eastAsia" w:ascii="仿宋_GB2312" w:hAnsi="宋体" w:eastAsia="仿宋_GB2312"/>
          <w:color w:val="000000"/>
          <w:kern w:val="0"/>
          <w:sz w:val="28"/>
          <w:szCs w:val="28"/>
          <w:u w:val="single"/>
          <w:shd w:val="clear" w:color="auto" w:fill="FFFFFF"/>
        </w:rPr>
        <w:t xml:space="preserve">     </w:t>
      </w:r>
      <w:r>
        <w:rPr>
          <w:rFonts w:hint="eastAsia" w:ascii="仿宋_GB2312" w:hAnsi="宋体" w:eastAsia="仿宋_GB2312"/>
          <w:color w:val="000000"/>
          <w:kern w:val="0"/>
          <w:sz w:val="28"/>
          <w:szCs w:val="28"/>
          <w:shd w:val="clear" w:color="auto" w:fill="FFFFFF"/>
        </w:rPr>
        <w:t>企业年金计划投资管理合同》及其附件，以及甲乙双方对该合同及附件做出的任何有效变更及补充。</w:t>
      </w:r>
    </w:p>
    <w:p>
      <w:pPr>
        <w:spacing w:line="360" w:lineRule="auto"/>
        <w:ind w:firstLine="560" w:firstLineChars="200"/>
        <w:rPr>
          <w:rFonts w:hint="eastAsia" w:ascii="仿宋_GB2312" w:hAnsi="宋体" w:eastAsia="仿宋_GB2312"/>
          <w:color w:val="000000"/>
          <w:kern w:val="0"/>
          <w:sz w:val="28"/>
          <w:szCs w:val="28"/>
          <w:shd w:val="clear" w:color="auto" w:fill="FFFFFF"/>
        </w:rPr>
      </w:pPr>
      <w:r>
        <w:rPr>
          <w:rFonts w:hint="eastAsia" w:ascii="仿宋_GB2312" w:hAnsi="宋体" w:eastAsia="仿宋_GB2312"/>
          <w:color w:val="000000"/>
          <w:kern w:val="0"/>
          <w:sz w:val="28"/>
          <w:szCs w:val="28"/>
          <w:shd w:val="clear" w:color="auto" w:fill="FFFFFF"/>
        </w:rPr>
        <w:t>1.13  受托财产托管账户：指托管人开立的、专门用于归集企业年金缴费、向投资资产托管账户划拨资金、向受益人支付企业年金待遇、依据法律法规规定支付企业年金管理费用或转移企业年金基金财产的专用存款账户。</w:t>
      </w:r>
    </w:p>
    <w:p>
      <w:pPr>
        <w:spacing w:line="360" w:lineRule="auto"/>
        <w:ind w:firstLine="560" w:firstLineChars="200"/>
        <w:rPr>
          <w:rFonts w:hint="eastAsia" w:ascii="仿宋_GB2312" w:hAnsi="宋体" w:eastAsia="仿宋_GB2312"/>
          <w:color w:val="000000"/>
          <w:kern w:val="0"/>
          <w:sz w:val="28"/>
          <w:szCs w:val="28"/>
          <w:shd w:val="clear" w:color="auto" w:fill="FFFFFF"/>
        </w:rPr>
      </w:pPr>
      <w:r>
        <w:rPr>
          <w:rFonts w:hint="eastAsia" w:ascii="仿宋_GB2312" w:hAnsi="宋体" w:eastAsia="仿宋_GB2312"/>
          <w:color w:val="000000"/>
          <w:kern w:val="0"/>
          <w:sz w:val="28"/>
          <w:szCs w:val="28"/>
          <w:shd w:val="clear" w:color="auto" w:fill="FFFFFF"/>
        </w:rPr>
        <w:t>1.14  投资资产托管账户：指托管人开立的，专门用于所托管的企业年金基金因投资运作而发生的资金清算交收的专用存款账户。</w:t>
      </w:r>
    </w:p>
    <w:p>
      <w:pPr>
        <w:spacing w:line="360" w:lineRule="auto"/>
        <w:ind w:firstLine="560" w:firstLineChars="200"/>
        <w:rPr>
          <w:rFonts w:hint="eastAsia" w:ascii="仿宋_GB2312" w:hAnsi="宋体" w:eastAsia="仿宋_GB2312"/>
          <w:color w:val="000000"/>
          <w:kern w:val="0"/>
          <w:sz w:val="28"/>
          <w:szCs w:val="28"/>
          <w:shd w:val="clear" w:color="auto" w:fill="FFFFFF"/>
        </w:rPr>
      </w:pPr>
      <w:r>
        <w:rPr>
          <w:rFonts w:hint="eastAsia" w:ascii="仿宋_GB2312" w:hAnsi="宋体" w:eastAsia="仿宋_GB2312"/>
          <w:color w:val="000000"/>
          <w:kern w:val="0"/>
          <w:sz w:val="28"/>
          <w:szCs w:val="28"/>
          <w:shd w:val="clear" w:color="auto" w:fill="FFFFFF"/>
        </w:rPr>
        <w:t>1.15  投资组合：指为分散风险而将企业年金基金分成的若干投资单元。</w:t>
      </w:r>
    </w:p>
    <w:p>
      <w:pPr>
        <w:spacing w:line="360" w:lineRule="auto"/>
        <w:ind w:firstLine="560" w:firstLineChars="200"/>
        <w:rPr>
          <w:rFonts w:hint="eastAsia" w:ascii="仿宋_GB2312" w:hAnsi="宋体" w:eastAsia="仿宋_GB2312"/>
          <w:color w:val="000000"/>
          <w:kern w:val="0"/>
          <w:sz w:val="28"/>
          <w:szCs w:val="28"/>
          <w:shd w:val="clear" w:color="auto" w:fill="FFFFFF"/>
        </w:rPr>
      </w:pPr>
      <w:r>
        <w:rPr>
          <w:rFonts w:hint="eastAsia" w:ascii="仿宋_GB2312" w:hAnsi="宋体" w:eastAsia="仿宋_GB2312"/>
          <w:color w:val="000000"/>
          <w:kern w:val="0"/>
          <w:sz w:val="28"/>
          <w:szCs w:val="28"/>
          <w:shd w:val="clear" w:color="auto" w:fill="FFFFFF"/>
        </w:rPr>
        <w:t>1.16  投资管理风险准备金：指投资管理人从当期收取的投资管理费中提取的专项用于弥补合同终止时所管理投资组合的企业年金基金当期投资亏损的资金。</w:t>
      </w:r>
    </w:p>
    <w:p>
      <w:pPr>
        <w:spacing w:line="360" w:lineRule="auto"/>
        <w:ind w:firstLine="560" w:firstLineChars="200"/>
        <w:rPr>
          <w:rFonts w:hint="eastAsia" w:ascii="仿宋_GB2312" w:hAnsi="宋体" w:eastAsia="仿宋_GB2312"/>
          <w:color w:val="000000"/>
          <w:kern w:val="0"/>
          <w:sz w:val="28"/>
          <w:szCs w:val="28"/>
          <w:shd w:val="clear" w:color="auto" w:fill="FFFFFF"/>
        </w:rPr>
      </w:pPr>
      <w:r>
        <w:rPr>
          <w:rFonts w:hint="eastAsia" w:ascii="仿宋_GB2312" w:hAnsi="宋体" w:eastAsia="仿宋_GB2312"/>
          <w:color w:val="000000"/>
          <w:kern w:val="0"/>
          <w:sz w:val="28"/>
          <w:szCs w:val="28"/>
          <w:shd w:val="clear" w:color="auto" w:fill="FFFFFF"/>
        </w:rPr>
        <w:t>1.17  投资管理风险准备金账户：指投资管理人开立的、专门用于存放从投资管理人投资管理费中提取的投资管理风险准备金的专用存款账户。</w:t>
      </w:r>
    </w:p>
    <w:p>
      <w:pPr>
        <w:spacing w:line="360" w:lineRule="auto"/>
        <w:ind w:firstLine="560" w:firstLineChars="200"/>
        <w:rPr>
          <w:rFonts w:hint="eastAsia" w:ascii="仿宋_GB2312" w:hAnsi="宋体" w:eastAsia="仿宋_GB2312"/>
          <w:color w:val="000000"/>
          <w:kern w:val="0"/>
          <w:sz w:val="28"/>
          <w:szCs w:val="28"/>
          <w:shd w:val="clear" w:color="auto" w:fill="FFFFFF"/>
        </w:rPr>
      </w:pPr>
      <w:r>
        <w:rPr>
          <w:rFonts w:hint="eastAsia" w:ascii="仿宋_GB2312" w:hAnsi="宋体" w:eastAsia="仿宋_GB2312"/>
          <w:color w:val="000000"/>
          <w:kern w:val="0"/>
          <w:sz w:val="28"/>
          <w:szCs w:val="28"/>
          <w:shd w:val="clear" w:color="auto" w:fill="FFFFFF"/>
        </w:rPr>
        <w:t>1.18  交易日：指上海证券交易所、深圳证券交易所等交易所正常的营业日。</w:t>
      </w:r>
    </w:p>
    <w:p>
      <w:pPr>
        <w:spacing w:line="360" w:lineRule="auto"/>
        <w:ind w:firstLine="560" w:firstLineChars="200"/>
        <w:rPr>
          <w:rFonts w:hint="eastAsia" w:ascii="仿宋_GB2312" w:hAnsi="宋体" w:eastAsia="仿宋_GB2312"/>
          <w:color w:val="000000"/>
          <w:kern w:val="0"/>
          <w:sz w:val="28"/>
          <w:szCs w:val="28"/>
          <w:shd w:val="clear" w:color="auto" w:fill="FFFFFF"/>
        </w:rPr>
      </w:pPr>
      <w:r>
        <w:rPr>
          <w:rFonts w:hint="eastAsia" w:ascii="仿宋_GB2312" w:hAnsi="宋体" w:eastAsia="仿宋_GB2312"/>
          <w:color w:val="000000"/>
          <w:kern w:val="0"/>
          <w:sz w:val="28"/>
          <w:szCs w:val="28"/>
          <w:shd w:val="clear" w:color="auto" w:fill="FFFFFF"/>
        </w:rPr>
        <w:t>1.19  估值日：为交易日。</w:t>
      </w:r>
    </w:p>
    <w:p>
      <w:pPr>
        <w:spacing w:line="360" w:lineRule="auto"/>
        <w:ind w:firstLine="560" w:firstLineChars="200"/>
        <w:rPr>
          <w:rFonts w:hint="eastAsia" w:ascii="仿宋_GB2312" w:hAnsi="宋体" w:eastAsia="仿宋_GB2312"/>
          <w:color w:val="000000"/>
          <w:kern w:val="0"/>
          <w:sz w:val="28"/>
          <w:szCs w:val="28"/>
          <w:shd w:val="clear" w:color="auto" w:fill="FFFFFF"/>
        </w:rPr>
      </w:pPr>
      <w:r>
        <w:rPr>
          <w:rFonts w:hint="eastAsia" w:ascii="仿宋_GB2312" w:hAnsi="宋体" w:eastAsia="仿宋_GB2312"/>
          <w:color w:val="000000"/>
          <w:kern w:val="0"/>
          <w:sz w:val="28"/>
          <w:szCs w:val="28"/>
          <w:shd w:val="clear" w:color="auto" w:fill="FFFFFF"/>
        </w:rPr>
        <w:t>1.20  定价日：指受托人与托管人、账户管理人、投资管理人约定的特殊估值日，该日的估值结果作为本企业年金基金资产分配、资产提取与收益分配的依据。</w:t>
      </w:r>
    </w:p>
    <w:p>
      <w:pPr>
        <w:spacing w:line="360" w:lineRule="auto"/>
        <w:ind w:firstLine="560" w:firstLineChars="200"/>
        <w:rPr>
          <w:rFonts w:hint="eastAsia" w:ascii="仿宋_GB2312" w:hAnsi="宋体" w:eastAsia="仿宋_GB2312"/>
          <w:color w:val="000000"/>
          <w:kern w:val="0"/>
          <w:sz w:val="28"/>
          <w:szCs w:val="28"/>
          <w:shd w:val="clear" w:color="auto" w:fill="FFFFFF"/>
        </w:rPr>
      </w:pPr>
      <w:r>
        <w:rPr>
          <w:rFonts w:hint="eastAsia" w:ascii="仿宋_GB2312" w:hAnsi="宋体" w:eastAsia="仿宋_GB2312"/>
          <w:color w:val="000000"/>
          <w:kern w:val="0"/>
          <w:sz w:val="28"/>
          <w:szCs w:val="28"/>
          <w:shd w:val="clear" w:color="auto" w:fill="FFFFFF"/>
        </w:rPr>
        <w:t>1.21  审计费用：指对企业年金计划进行审计所发生的费用。</w:t>
      </w:r>
    </w:p>
    <w:p>
      <w:pPr>
        <w:spacing w:line="360" w:lineRule="auto"/>
        <w:ind w:firstLine="560" w:firstLineChars="200"/>
        <w:rPr>
          <w:rFonts w:hint="eastAsia" w:ascii="仿宋_GB2312" w:hAnsi="宋体" w:eastAsia="仿宋_GB2312"/>
          <w:color w:val="000000"/>
          <w:kern w:val="0"/>
          <w:sz w:val="28"/>
          <w:szCs w:val="28"/>
          <w:shd w:val="clear" w:color="auto" w:fill="FFFFFF"/>
        </w:rPr>
      </w:pPr>
      <w:r>
        <w:rPr>
          <w:rFonts w:hint="eastAsia" w:ascii="仿宋_GB2312" w:hAnsi="宋体" w:eastAsia="仿宋_GB2312"/>
          <w:color w:val="000000"/>
          <w:kern w:val="0"/>
          <w:sz w:val="28"/>
          <w:szCs w:val="28"/>
          <w:shd w:val="clear" w:color="auto" w:fill="FFFFFF"/>
        </w:rPr>
        <w:t>1.22  交易费用：指因证券买卖所产生的印花税、手续费、过户费、证管费、交易单元佣金及账户维护费等费用。</w:t>
      </w:r>
    </w:p>
    <w:p>
      <w:pPr>
        <w:spacing w:line="360" w:lineRule="auto"/>
        <w:ind w:firstLine="560" w:firstLineChars="200"/>
        <w:rPr>
          <w:rFonts w:hint="eastAsia" w:ascii="仿宋_GB2312" w:hAnsi="宋体" w:eastAsia="仿宋_GB2312"/>
          <w:color w:val="000000"/>
          <w:kern w:val="0"/>
          <w:sz w:val="28"/>
          <w:szCs w:val="28"/>
          <w:shd w:val="clear" w:color="auto" w:fill="FFFFFF"/>
        </w:rPr>
      </w:pPr>
      <w:r>
        <w:rPr>
          <w:rFonts w:hint="eastAsia" w:ascii="仿宋_GB2312" w:hAnsi="宋体" w:eastAsia="仿宋_GB2312"/>
          <w:color w:val="000000"/>
          <w:kern w:val="0"/>
          <w:sz w:val="28"/>
          <w:szCs w:val="28"/>
          <w:shd w:val="clear" w:color="auto" w:fill="FFFFFF"/>
        </w:rPr>
        <w:t>1.23  资金划拨费用：指因受托财产托管账户与投资资产托管账户之间的资金划拨、投资资产托管账户与证券市场、银行间债券市场、开放式基金等登记清算机构的资金账户之间的资金划拨、企业年金待遇领取的资金划拨以及支付有关费用时等产生的汇划费用以及由此产生的银行票据购买等费用。</w:t>
      </w:r>
    </w:p>
    <w:p>
      <w:pPr>
        <w:spacing w:line="360" w:lineRule="auto"/>
        <w:ind w:firstLine="560" w:firstLineChars="200"/>
        <w:rPr>
          <w:rFonts w:hint="eastAsia" w:ascii="仿宋_GB2312" w:hAnsi="宋体" w:eastAsia="仿宋_GB2312"/>
          <w:color w:val="000000"/>
          <w:kern w:val="0"/>
          <w:sz w:val="28"/>
          <w:szCs w:val="28"/>
          <w:shd w:val="clear" w:color="auto" w:fill="FFFFFF"/>
        </w:rPr>
      </w:pPr>
      <w:r>
        <w:rPr>
          <w:rFonts w:hint="eastAsia" w:ascii="仿宋_GB2312" w:hAnsi="宋体" w:eastAsia="仿宋_GB2312"/>
          <w:color w:val="000000"/>
          <w:kern w:val="0"/>
          <w:sz w:val="28"/>
          <w:szCs w:val="28"/>
          <w:shd w:val="clear" w:color="auto" w:fill="FFFFFF"/>
        </w:rPr>
        <w:t>1.24  开户费用：指为企业年金计划以及投资组合开立资金类和投资交易类等账户时所发生的费用。</w:t>
      </w:r>
    </w:p>
    <w:p>
      <w:pPr>
        <w:spacing w:line="360" w:lineRule="auto"/>
        <w:ind w:firstLine="560" w:firstLineChars="200"/>
        <w:rPr>
          <w:rFonts w:hint="eastAsia" w:ascii="仿宋_GB2312" w:hAnsi="宋体" w:eastAsia="仿宋_GB2312"/>
          <w:color w:val="000000"/>
          <w:kern w:val="0"/>
          <w:sz w:val="28"/>
          <w:szCs w:val="28"/>
          <w:shd w:val="clear" w:color="auto" w:fill="FFFFFF"/>
        </w:rPr>
      </w:pPr>
      <w:r>
        <w:rPr>
          <w:rFonts w:hint="eastAsia" w:ascii="仿宋_GB2312" w:hAnsi="宋体" w:eastAsia="仿宋_GB2312"/>
          <w:color w:val="000000"/>
          <w:kern w:val="0"/>
          <w:sz w:val="28"/>
          <w:szCs w:val="28"/>
          <w:shd w:val="clear" w:color="auto" w:fill="FFFFFF"/>
        </w:rPr>
        <w:t>1.25  清算费用：指企业年金计划终止时对企业年金基金财产进行清算时发生的费用。</w:t>
      </w:r>
    </w:p>
    <w:p>
      <w:pPr>
        <w:spacing w:line="360" w:lineRule="auto"/>
        <w:ind w:firstLine="560" w:firstLineChars="200"/>
        <w:rPr>
          <w:rFonts w:hint="eastAsia" w:ascii="仿宋_GB2312" w:hAnsi="宋体" w:eastAsia="仿宋_GB2312"/>
          <w:color w:val="000000"/>
          <w:kern w:val="0"/>
          <w:sz w:val="28"/>
          <w:szCs w:val="28"/>
          <w:shd w:val="clear" w:color="auto" w:fill="FFFFFF"/>
        </w:rPr>
      </w:pPr>
      <w:r>
        <w:rPr>
          <w:rFonts w:hint="eastAsia" w:ascii="仿宋_GB2312" w:hAnsi="宋体" w:eastAsia="仿宋_GB2312"/>
          <w:color w:val="000000"/>
          <w:kern w:val="0"/>
          <w:sz w:val="28"/>
          <w:szCs w:val="28"/>
          <w:shd w:val="clear" w:color="auto" w:fill="FFFFFF"/>
        </w:rPr>
        <w:t>1.26  管理职责终止日：指企业年金计划的受托人、账户管理人、托管人或投资管理人职责终止，新旧管理人业务移交手续办理完毕之日，具体日期由受托人与新旧管理人协商确定。</w:t>
      </w:r>
    </w:p>
    <w:p>
      <w:pPr>
        <w:spacing w:line="360" w:lineRule="auto"/>
        <w:ind w:firstLine="560" w:firstLineChars="200"/>
        <w:rPr>
          <w:rFonts w:hint="eastAsia" w:ascii="仿宋_GB2312" w:hAnsi="宋体" w:eastAsia="仿宋_GB2312"/>
          <w:color w:val="000000"/>
          <w:kern w:val="0"/>
          <w:sz w:val="28"/>
          <w:szCs w:val="28"/>
          <w:shd w:val="clear" w:color="auto" w:fill="FFFFFF"/>
        </w:rPr>
      </w:pPr>
      <w:r>
        <w:rPr>
          <w:rFonts w:hint="eastAsia" w:ascii="仿宋_GB2312" w:hAnsi="宋体" w:eastAsia="仿宋_GB2312"/>
          <w:color w:val="000000"/>
          <w:kern w:val="0"/>
          <w:sz w:val="28"/>
          <w:szCs w:val="28"/>
          <w:shd w:val="clear" w:color="auto" w:fill="FFFFFF"/>
        </w:rPr>
        <w:t>1.27  法律法规: 本合同所称法律法规指国家现行有效并公布实施的法律、行政法规、司法解释、部门规章及规范性文件等。</w:t>
      </w:r>
    </w:p>
    <w:p>
      <w:pPr>
        <w:spacing w:line="360" w:lineRule="auto"/>
        <w:ind w:firstLine="560" w:firstLineChars="200"/>
        <w:rPr>
          <w:rFonts w:hint="eastAsia" w:ascii="仿宋_GB2312" w:hAnsi="宋体" w:eastAsia="仿宋_GB2312"/>
          <w:color w:val="000000"/>
          <w:kern w:val="0"/>
          <w:sz w:val="28"/>
          <w:szCs w:val="28"/>
          <w:shd w:val="clear" w:color="auto" w:fill="FFFFFF"/>
        </w:rPr>
      </w:pPr>
      <w:r>
        <w:rPr>
          <w:rFonts w:hint="eastAsia" w:ascii="仿宋_GB2312" w:hAnsi="宋体" w:eastAsia="仿宋_GB2312"/>
          <w:color w:val="000000"/>
          <w:kern w:val="0"/>
          <w:sz w:val="28"/>
          <w:szCs w:val="28"/>
          <w:shd w:val="clear" w:color="auto" w:fill="FFFFFF"/>
        </w:rPr>
        <w:t>1.28  不可抗力：指甲乙双方不能预见、不能避免且不能克服的客观情况，包括但不限于自然灾害、社会政治动乱和战争、以及证券交易所、中国证券登记结算有限责任公司、中央国债登记结算有限责任公司、银行间市场清算所股份有限公司等证券交易和结算机构的交易系统故障。</w:t>
      </w:r>
    </w:p>
    <w:p>
      <w:pPr>
        <w:spacing w:line="360" w:lineRule="auto"/>
        <w:ind w:firstLine="560" w:firstLineChars="200"/>
        <w:rPr>
          <w:rFonts w:hint="eastAsia" w:ascii="仿宋_GB2312" w:hAnsi="宋体" w:eastAsia="仿宋_GB2312"/>
          <w:color w:val="000000"/>
          <w:kern w:val="0"/>
          <w:sz w:val="28"/>
          <w:szCs w:val="28"/>
          <w:shd w:val="clear" w:color="auto" w:fill="FFFFFF"/>
        </w:rPr>
      </w:pPr>
      <w:r>
        <w:rPr>
          <w:rFonts w:hint="eastAsia" w:ascii="仿宋_GB2312" w:hAnsi="宋体" w:eastAsia="仿宋_GB2312"/>
          <w:color w:val="000000"/>
          <w:kern w:val="0"/>
          <w:sz w:val="28"/>
          <w:szCs w:val="28"/>
          <w:shd w:val="clear" w:color="auto" w:fill="FFFFFF"/>
        </w:rPr>
        <w:t>1.29  损失：本合同、附件以及后续签订的补充协议中所指的损失均指直接损失。</w:t>
      </w:r>
      <w:bookmarkStart w:id="4" w:name="_Toc196484064"/>
      <w:bookmarkStart w:id="5" w:name="_Toc293332599"/>
    </w:p>
    <w:p>
      <w:pPr>
        <w:pStyle w:val="2"/>
        <w:ind w:firstLine="3092" w:firstLineChars="1100"/>
        <w:rPr>
          <w:rFonts w:hint="eastAsia" w:ascii="黑体" w:hAnsi="黑体" w:eastAsia="黑体"/>
          <w:bCs w:val="0"/>
          <w:sz w:val="28"/>
          <w:szCs w:val="28"/>
          <w:shd w:val="clear" w:color="auto" w:fill="FFFFFF"/>
        </w:rPr>
      </w:pPr>
      <w:bookmarkStart w:id="6" w:name="_Toc319934281"/>
      <w:r>
        <w:rPr>
          <w:rFonts w:hint="eastAsia" w:ascii="黑体" w:hAnsi="黑体" w:eastAsia="黑体"/>
          <w:bCs w:val="0"/>
          <w:sz w:val="28"/>
          <w:szCs w:val="28"/>
          <w:shd w:val="clear" w:color="auto" w:fill="FFFFFF"/>
        </w:rPr>
        <w:t xml:space="preserve">第二章  </w:t>
      </w:r>
      <w:bookmarkEnd w:id="4"/>
      <w:bookmarkEnd w:id="5"/>
      <w:r>
        <w:rPr>
          <w:rFonts w:hint="eastAsia" w:ascii="黑体" w:hAnsi="黑体" w:eastAsia="黑体"/>
          <w:b w:val="0"/>
          <w:sz w:val="28"/>
          <w:szCs w:val="28"/>
        </w:rPr>
        <w:t>声明与承诺</w:t>
      </w:r>
      <w:bookmarkEnd w:id="6"/>
    </w:p>
    <w:p>
      <w:pPr>
        <w:spacing w:line="360" w:lineRule="auto"/>
        <w:ind w:firstLine="560" w:firstLineChars="200"/>
        <w:rPr>
          <w:rFonts w:hint="eastAsia" w:ascii="仿宋_GB2312" w:hAnsi="宋体" w:eastAsia="仿宋_GB2312"/>
          <w:color w:val="000000"/>
          <w:kern w:val="0"/>
          <w:sz w:val="28"/>
          <w:szCs w:val="28"/>
          <w:shd w:val="clear" w:color="auto" w:fill="FFFFFF"/>
        </w:rPr>
      </w:pPr>
      <w:r>
        <w:rPr>
          <w:rFonts w:hint="eastAsia" w:ascii="仿宋_GB2312" w:hAnsi="宋体" w:eastAsia="仿宋_GB2312"/>
          <w:color w:val="000000"/>
          <w:kern w:val="0"/>
          <w:sz w:val="28"/>
          <w:szCs w:val="28"/>
          <w:shd w:val="clear" w:color="auto" w:fill="FFFFFF"/>
        </w:rPr>
        <w:t>2.1  甲方声明与承诺。</w:t>
      </w:r>
    </w:p>
    <w:p>
      <w:pPr>
        <w:spacing w:line="360" w:lineRule="auto"/>
        <w:ind w:firstLine="560" w:firstLineChars="200"/>
        <w:rPr>
          <w:rFonts w:hint="eastAsia" w:ascii="仿宋_GB2312" w:hAnsi="宋体" w:eastAsia="仿宋_GB2312"/>
          <w:color w:val="000000"/>
          <w:kern w:val="0"/>
          <w:sz w:val="28"/>
          <w:szCs w:val="28"/>
          <w:shd w:val="clear" w:color="auto" w:fill="FFFFFF"/>
        </w:rPr>
      </w:pPr>
      <w:r>
        <w:rPr>
          <w:rFonts w:hint="eastAsia" w:ascii="仿宋_GB2312" w:hAnsi="宋体" w:eastAsia="仿宋_GB2312"/>
          <w:color w:val="000000"/>
          <w:kern w:val="0"/>
          <w:sz w:val="28"/>
          <w:szCs w:val="28"/>
          <w:shd w:val="clear" w:color="auto" w:fill="FFFFFF"/>
        </w:rPr>
        <w:t>2.1.1  甲方声明本公司为根据法律法规合法设立并有效存续，依法取得企业年金基金受托管理业务资格，受托管理企业年金基金财产的法人受托机构。</w:t>
      </w:r>
    </w:p>
    <w:p>
      <w:pPr>
        <w:spacing w:line="360" w:lineRule="auto"/>
        <w:ind w:firstLine="560" w:firstLineChars="200"/>
        <w:rPr>
          <w:rFonts w:hint="eastAsia" w:ascii="仿宋_GB2312" w:hAnsi="宋体" w:eastAsia="仿宋_GB2312"/>
          <w:color w:val="000000"/>
          <w:kern w:val="0"/>
          <w:sz w:val="28"/>
          <w:szCs w:val="28"/>
          <w:shd w:val="clear" w:color="auto" w:fill="FFFFFF"/>
        </w:rPr>
      </w:pPr>
      <w:r>
        <w:rPr>
          <w:rFonts w:hint="eastAsia" w:ascii="仿宋_GB2312" w:hAnsi="宋体" w:eastAsia="仿宋_GB2312"/>
          <w:color w:val="000000"/>
          <w:kern w:val="0"/>
          <w:sz w:val="28"/>
          <w:szCs w:val="28"/>
          <w:shd w:val="clear" w:color="auto" w:fill="FFFFFF"/>
        </w:rPr>
        <w:t>2.1.2  甲方声明已受</w:t>
      </w:r>
      <w:r>
        <w:rPr>
          <w:rFonts w:hint="eastAsia" w:ascii="仿宋_GB2312" w:hAnsi="宋体" w:eastAsia="仿宋_GB2312"/>
          <w:color w:val="000000"/>
          <w:kern w:val="0"/>
          <w:sz w:val="28"/>
          <w:szCs w:val="28"/>
          <w:u w:val="single"/>
          <w:shd w:val="clear" w:color="auto" w:fill="FFFFFF"/>
        </w:rPr>
        <w:t xml:space="preserve">     </w:t>
      </w:r>
      <w:r>
        <w:rPr>
          <w:rFonts w:hint="eastAsia" w:ascii="仿宋_GB2312" w:hAnsi="宋体" w:eastAsia="仿宋_GB2312"/>
          <w:color w:val="000000"/>
          <w:kern w:val="0"/>
          <w:sz w:val="28"/>
          <w:szCs w:val="28"/>
          <w:shd w:val="clear" w:color="auto" w:fill="FFFFFF"/>
        </w:rPr>
        <w:t>公司委托，履行</w:t>
      </w:r>
      <w:r>
        <w:rPr>
          <w:rFonts w:hint="eastAsia" w:ascii="仿宋_GB2312" w:hAnsi="宋体" w:eastAsia="仿宋_GB2312"/>
          <w:color w:val="000000"/>
          <w:kern w:val="0"/>
          <w:sz w:val="28"/>
          <w:szCs w:val="28"/>
          <w:u w:val="single"/>
          <w:shd w:val="clear" w:color="auto" w:fill="FFFFFF"/>
        </w:rPr>
        <w:t xml:space="preserve">     </w:t>
      </w:r>
      <w:r>
        <w:rPr>
          <w:rFonts w:hint="eastAsia" w:ascii="仿宋_GB2312" w:hAnsi="宋体" w:eastAsia="仿宋_GB2312"/>
          <w:color w:val="000000"/>
          <w:kern w:val="0"/>
          <w:sz w:val="28"/>
          <w:szCs w:val="28"/>
          <w:shd w:val="clear" w:color="auto" w:fill="FFFFFF"/>
        </w:rPr>
        <w:t>企业年金计划受托管理职责。</w:t>
      </w:r>
    </w:p>
    <w:p>
      <w:pPr>
        <w:spacing w:line="360" w:lineRule="auto"/>
        <w:ind w:firstLine="560" w:firstLineChars="200"/>
        <w:rPr>
          <w:rFonts w:hint="eastAsia" w:ascii="仿宋_GB2312" w:hAnsi="宋体" w:eastAsia="仿宋_GB2312"/>
          <w:color w:val="000000"/>
          <w:kern w:val="0"/>
          <w:sz w:val="28"/>
          <w:szCs w:val="28"/>
          <w:shd w:val="clear" w:color="auto" w:fill="FFFFFF"/>
        </w:rPr>
      </w:pPr>
      <w:r>
        <w:rPr>
          <w:rFonts w:hint="eastAsia" w:ascii="仿宋_GB2312" w:hAnsi="宋体" w:eastAsia="仿宋_GB2312"/>
          <w:color w:val="000000"/>
          <w:kern w:val="0"/>
          <w:sz w:val="28"/>
          <w:szCs w:val="28"/>
          <w:shd w:val="clear" w:color="auto" w:fill="FFFFFF"/>
        </w:rPr>
        <w:t>2.1.3  甲方声明委托投资资产为甲方合法管理的资产，保证委托投资资产的来源及用途符合国家有关规定。</w:t>
      </w:r>
    </w:p>
    <w:p>
      <w:pPr>
        <w:spacing w:line="360" w:lineRule="auto"/>
        <w:ind w:firstLine="560" w:firstLineChars="200"/>
        <w:rPr>
          <w:rFonts w:hint="eastAsia" w:ascii="仿宋_GB2312" w:hAnsi="宋体" w:eastAsia="仿宋_GB2312"/>
          <w:color w:val="000000"/>
          <w:kern w:val="0"/>
          <w:sz w:val="28"/>
          <w:szCs w:val="28"/>
          <w:shd w:val="clear" w:color="auto" w:fill="FFFFFF"/>
        </w:rPr>
      </w:pPr>
      <w:r>
        <w:rPr>
          <w:rFonts w:hint="eastAsia" w:ascii="仿宋_GB2312" w:hAnsi="宋体" w:eastAsia="仿宋_GB2312"/>
          <w:color w:val="000000"/>
          <w:kern w:val="0"/>
          <w:sz w:val="28"/>
          <w:szCs w:val="28"/>
          <w:shd w:val="clear" w:color="auto" w:fill="FFFFFF"/>
        </w:rPr>
        <w:t>2.1.4  甲方声明依据企业年金计划设立的相关文件签订本合同，履行本合同约定的义务，并为合同有效执行负有责任，该项委托不会为其他任何第三方所质疑。</w:t>
      </w:r>
    </w:p>
    <w:p>
      <w:pPr>
        <w:spacing w:line="360" w:lineRule="auto"/>
        <w:ind w:firstLine="560" w:firstLineChars="200"/>
        <w:rPr>
          <w:rFonts w:hint="eastAsia" w:ascii="仿宋_GB2312" w:hAnsi="宋体" w:eastAsia="仿宋_GB2312"/>
          <w:color w:val="000000"/>
          <w:kern w:val="0"/>
          <w:sz w:val="28"/>
          <w:szCs w:val="28"/>
          <w:shd w:val="clear" w:color="auto" w:fill="FFFFFF"/>
        </w:rPr>
      </w:pPr>
      <w:r>
        <w:rPr>
          <w:rFonts w:hint="eastAsia" w:ascii="仿宋_GB2312" w:hAnsi="宋体" w:eastAsia="仿宋_GB2312"/>
          <w:color w:val="000000"/>
          <w:kern w:val="0"/>
          <w:sz w:val="28"/>
          <w:szCs w:val="28"/>
          <w:shd w:val="clear" w:color="auto" w:fill="FFFFFF"/>
        </w:rPr>
        <w:t xml:space="preserve">2.1.5  甲方声明签署本合同、履行其在本合同约定的义务、行使其在本合同约定的权利，不违反甲方章程及适用于甲方的任何生效判决、裁定、授权和协议。 </w:t>
      </w:r>
    </w:p>
    <w:p>
      <w:pPr>
        <w:spacing w:line="360" w:lineRule="auto"/>
        <w:ind w:firstLine="560" w:firstLineChars="200"/>
        <w:rPr>
          <w:rFonts w:hint="eastAsia" w:ascii="仿宋_GB2312" w:hAnsi="宋体" w:eastAsia="仿宋_GB2312"/>
          <w:color w:val="000000"/>
          <w:kern w:val="0"/>
          <w:sz w:val="28"/>
          <w:szCs w:val="28"/>
          <w:shd w:val="clear" w:color="auto" w:fill="FFFFFF"/>
        </w:rPr>
      </w:pPr>
      <w:r>
        <w:rPr>
          <w:rFonts w:hint="eastAsia" w:ascii="仿宋_GB2312" w:hAnsi="宋体" w:eastAsia="仿宋_GB2312"/>
          <w:color w:val="000000"/>
          <w:kern w:val="0"/>
          <w:sz w:val="28"/>
          <w:szCs w:val="28"/>
          <w:shd w:val="clear" w:color="auto" w:fill="FFFFFF"/>
        </w:rPr>
        <w:t>2.1.6  甲方承诺严格遵守法律法规规定、企业年金管理机构行业自律公约和本合同约定，恪尽职守，按照诚实、信用、谨慎、勤勉的原则，履行受托管理职责，为受益人最大利益管理和处分企业年金基金财产。</w:t>
      </w:r>
    </w:p>
    <w:p>
      <w:pPr>
        <w:spacing w:line="360" w:lineRule="auto"/>
        <w:ind w:firstLine="560" w:firstLineChars="200"/>
        <w:rPr>
          <w:rFonts w:hint="eastAsia" w:ascii="仿宋_GB2312" w:hAnsi="宋体" w:eastAsia="仿宋_GB2312"/>
          <w:color w:val="000000"/>
          <w:kern w:val="0"/>
          <w:sz w:val="28"/>
          <w:szCs w:val="28"/>
          <w:shd w:val="clear" w:color="auto" w:fill="FFFFFF"/>
        </w:rPr>
      </w:pPr>
      <w:r>
        <w:rPr>
          <w:rFonts w:hint="eastAsia" w:ascii="仿宋_GB2312" w:hAnsi="宋体" w:eastAsia="仿宋_GB2312"/>
          <w:color w:val="000000"/>
          <w:kern w:val="0"/>
          <w:sz w:val="28"/>
          <w:szCs w:val="28"/>
          <w:shd w:val="clear" w:color="auto" w:fill="FFFFFF"/>
        </w:rPr>
        <w:t>2.1.7  甲方承诺提供给乙方的所有信息资料均合法、真实、准确、完整，没有任何虚假陈述、重大遗漏和误导。</w:t>
      </w:r>
    </w:p>
    <w:p>
      <w:pPr>
        <w:spacing w:line="360" w:lineRule="auto"/>
        <w:ind w:firstLine="560" w:firstLineChars="200"/>
        <w:rPr>
          <w:rFonts w:hint="eastAsia" w:hAnsi="宋体"/>
          <w:color w:val="000000"/>
          <w:kern w:val="0"/>
          <w:sz w:val="28"/>
          <w:szCs w:val="28"/>
        </w:rPr>
      </w:pPr>
      <w:r>
        <w:rPr>
          <w:rFonts w:hint="eastAsia" w:ascii="仿宋_GB2312" w:hAnsi="宋体" w:eastAsia="仿宋_GB2312"/>
          <w:color w:val="000000"/>
          <w:kern w:val="0"/>
          <w:sz w:val="28"/>
          <w:szCs w:val="28"/>
          <w:shd w:val="clear" w:color="auto" w:fill="FFFFFF"/>
        </w:rPr>
        <w:t>2.1.8  甲方承诺要求其工作人员严格遵守法律法规、职业道德规范。</w:t>
      </w:r>
    </w:p>
    <w:p>
      <w:pPr>
        <w:spacing w:line="360" w:lineRule="auto"/>
        <w:ind w:firstLine="560" w:firstLineChars="200"/>
        <w:rPr>
          <w:rFonts w:hint="eastAsia" w:ascii="仿宋_GB2312" w:hAnsi="宋体" w:eastAsia="仿宋_GB2312"/>
          <w:color w:val="000000"/>
          <w:kern w:val="0"/>
          <w:sz w:val="28"/>
          <w:szCs w:val="28"/>
          <w:shd w:val="clear" w:color="auto" w:fill="FFFFFF"/>
        </w:rPr>
      </w:pPr>
      <w:r>
        <w:rPr>
          <w:rFonts w:hint="eastAsia" w:ascii="仿宋_GB2312" w:hAnsi="宋体" w:eastAsia="仿宋_GB2312"/>
          <w:color w:val="000000"/>
          <w:kern w:val="0"/>
          <w:sz w:val="28"/>
          <w:szCs w:val="28"/>
          <w:shd w:val="clear" w:color="auto" w:fill="FFFFFF"/>
        </w:rPr>
        <w:t>2.2  乙方声明与承诺。</w:t>
      </w:r>
    </w:p>
    <w:p>
      <w:pPr>
        <w:spacing w:line="360" w:lineRule="auto"/>
        <w:ind w:firstLine="560" w:firstLineChars="200"/>
        <w:rPr>
          <w:rFonts w:hint="eastAsia" w:ascii="仿宋_GB2312" w:hAnsi="宋体" w:eastAsia="仿宋_GB2312"/>
          <w:color w:val="000000"/>
          <w:kern w:val="0"/>
          <w:sz w:val="28"/>
          <w:szCs w:val="28"/>
          <w:shd w:val="clear" w:color="auto" w:fill="FFFFFF"/>
        </w:rPr>
      </w:pPr>
      <w:r>
        <w:rPr>
          <w:rFonts w:hint="eastAsia" w:ascii="仿宋_GB2312" w:hAnsi="宋体" w:eastAsia="仿宋_GB2312"/>
          <w:color w:val="000000"/>
          <w:kern w:val="0"/>
          <w:sz w:val="28"/>
          <w:szCs w:val="28"/>
          <w:shd w:val="clear" w:color="auto" w:fill="FFFFFF"/>
        </w:rPr>
        <w:t xml:space="preserve">2.2.1  乙方声明本公司为根据法律法规合法设立并有效存续，依法取得企业年金基金投资管理业务资格，接受甲方委托从事企业年金基金投资管理业务的专业机构。 </w:t>
      </w:r>
    </w:p>
    <w:p>
      <w:pPr>
        <w:spacing w:line="360" w:lineRule="auto"/>
        <w:ind w:firstLine="560" w:firstLineChars="200"/>
        <w:rPr>
          <w:rFonts w:hint="eastAsia" w:ascii="仿宋_GB2312" w:hAnsi="宋体" w:eastAsia="仿宋_GB2312"/>
          <w:color w:val="000000"/>
          <w:kern w:val="0"/>
          <w:sz w:val="28"/>
          <w:szCs w:val="28"/>
          <w:shd w:val="clear" w:color="auto" w:fill="FFFFFF"/>
        </w:rPr>
      </w:pPr>
      <w:r>
        <w:rPr>
          <w:rFonts w:hint="eastAsia" w:ascii="仿宋_GB2312" w:hAnsi="宋体" w:eastAsia="仿宋_GB2312"/>
          <w:color w:val="000000"/>
          <w:kern w:val="0"/>
          <w:sz w:val="28"/>
          <w:szCs w:val="28"/>
          <w:shd w:val="clear" w:color="auto" w:fill="FFFFFF"/>
        </w:rPr>
        <w:t>2.2.2  乙方声明已经建立严格的隔离制度，使企业年金基金投资管理业务和自有资金管理业务、其他投资管理业务在账户和会计核算上严格独立管理，确保各项管理职能相互独立，避免利益冲突。</w:t>
      </w:r>
    </w:p>
    <w:p>
      <w:pPr>
        <w:spacing w:line="360" w:lineRule="auto"/>
        <w:ind w:firstLine="560" w:firstLineChars="200"/>
        <w:rPr>
          <w:rFonts w:hint="eastAsia" w:ascii="仿宋_GB2312" w:hAnsi="宋体" w:eastAsia="仿宋_GB2312"/>
          <w:color w:val="000000"/>
          <w:kern w:val="0"/>
          <w:sz w:val="28"/>
          <w:szCs w:val="28"/>
          <w:shd w:val="clear" w:color="auto" w:fill="FFFFFF"/>
        </w:rPr>
      </w:pPr>
      <w:r>
        <w:rPr>
          <w:rFonts w:hint="eastAsia" w:ascii="仿宋_GB2312" w:hAnsi="宋体" w:eastAsia="仿宋_GB2312"/>
          <w:color w:val="000000"/>
          <w:kern w:val="0"/>
          <w:sz w:val="28"/>
          <w:szCs w:val="28"/>
          <w:shd w:val="clear" w:color="auto" w:fill="FFFFFF"/>
        </w:rPr>
        <w:t>2.2.3  乙方声明签署本合同、履行其在本合同约定的义务、行使其在本合同约定的权利，不会违反乙方章程和适用于乙方的任何生效判决、裁定、授权和协议。</w:t>
      </w:r>
    </w:p>
    <w:p>
      <w:pPr>
        <w:spacing w:line="360" w:lineRule="auto"/>
        <w:ind w:firstLine="560" w:firstLineChars="200"/>
        <w:rPr>
          <w:rFonts w:hint="eastAsia" w:ascii="仿宋_GB2312" w:hAnsi="宋体" w:eastAsia="仿宋_GB2312"/>
          <w:color w:val="000000"/>
          <w:kern w:val="0"/>
          <w:sz w:val="28"/>
          <w:szCs w:val="28"/>
          <w:shd w:val="clear" w:color="auto" w:fill="FFFFFF"/>
        </w:rPr>
      </w:pPr>
      <w:r>
        <w:rPr>
          <w:rFonts w:hint="eastAsia" w:ascii="仿宋_GB2312" w:hAnsi="宋体" w:eastAsia="仿宋_GB2312"/>
          <w:color w:val="000000"/>
          <w:kern w:val="0"/>
          <w:sz w:val="28"/>
          <w:szCs w:val="28"/>
          <w:shd w:val="clear" w:color="auto" w:fill="FFFFFF"/>
        </w:rPr>
        <w:t>2.2.4  乙方声明已在签署本合同之前充分地向甲方介绍了投资管理业务，同时揭示了证券投资的风险。</w:t>
      </w:r>
    </w:p>
    <w:p>
      <w:pPr>
        <w:spacing w:line="360" w:lineRule="auto"/>
        <w:ind w:firstLine="560" w:firstLineChars="200"/>
        <w:rPr>
          <w:rFonts w:hint="eastAsia" w:ascii="仿宋_GB2312" w:hAnsi="宋体" w:eastAsia="仿宋_GB2312"/>
          <w:color w:val="000000"/>
          <w:kern w:val="0"/>
          <w:sz w:val="28"/>
          <w:szCs w:val="28"/>
          <w:shd w:val="clear" w:color="auto" w:fill="FFFFFF"/>
        </w:rPr>
      </w:pPr>
      <w:r>
        <w:rPr>
          <w:rFonts w:hint="eastAsia" w:ascii="仿宋_GB2312" w:hAnsi="宋体" w:eastAsia="仿宋_GB2312"/>
          <w:color w:val="000000"/>
          <w:kern w:val="0"/>
          <w:sz w:val="28"/>
          <w:szCs w:val="28"/>
          <w:shd w:val="clear" w:color="auto" w:fill="FFFFFF"/>
        </w:rPr>
        <w:t>2.2.5  乙方声明在本合同、有关报告或文件中向甲方介绍的投资收益预期、业绩比较基准等仅供甲方参考。市场存在风险，乙方不保证企业年金基金财产管理过程中本金不受损失，亦不保证一定盈利。</w:t>
      </w:r>
    </w:p>
    <w:p>
      <w:pPr>
        <w:spacing w:line="360" w:lineRule="auto"/>
        <w:ind w:firstLine="560" w:firstLineChars="200"/>
        <w:rPr>
          <w:rFonts w:hint="eastAsia" w:ascii="仿宋_GB2312" w:hAnsi="宋体" w:eastAsia="仿宋_GB2312"/>
          <w:color w:val="000000"/>
          <w:kern w:val="0"/>
          <w:sz w:val="28"/>
          <w:szCs w:val="28"/>
          <w:shd w:val="clear" w:color="auto" w:fill="FFFFFF"/>
        </w:rPr>
      </w:pPr>
      <w:r>
        <w:rPr>
          <w:rFonts w:hint="eastAsia" w:ascii="仿宋_GB2312" w:hAnsi="宋体" w:eastAsia="仿宋_GB2312"/>
          <w:color w:val="000000"/>
          <w:kern w:val="0"/>
          <w:sz w:val="28"/>
          <w:szCs w:val="28"/>
          <w:shd w:val="clear" w:color="auto" w:fill="FFFFFF"/>
        </w:rPr>
        <w:t>2.2.6  乙方承诺严格遵守法律法规规定、企业年金管理机构行业自律公约和本合同的约定，恪尽职守，按照诚实、信用、谨慎、勤勉的原则，履行投资管理职责。</w:t>
      </w:r>
    </w:p>
    <w:p>
      <w:pPr>
        <w:spacing w:line="360" w:lineRule="auto"/>
        <w:ind w:firstLine="560" w:firstLineChars="200"/>
        <w:rPr>
          <w:rFonts w:hint="eastAsia" w:ascii="仿宋_GB2312" w:hAnsi="宋体" w:eastAsia="仿宋_GB2312"/>
          <w:color w:val="000000"/>
          <w:kern w:val="0"/>
          <w:sz w:val="28"/>
          <w:szCs w:val="28"/>
          <w:shd w:val="clear" w:color="auto" w:fill="FFFFFF"/>
        </w:rPr>
      </w:pPr>
      <w:r>
        <w:rPr>
          <w:rFonts w:hint="eastAsia" w:ascii="仿宋_GB2312" w:hAnsi="宋体" w:eastAsia="仿宋_GB2312"/>
          <w:color w:val="000000"/>
          <w:kern w:val="0"/>
          <w:sz w:val="28"/>
          <w:szCs w:val="28"/>
          <w:shd w:val="clear" w:color="auto" w:fill="FFFFFF"/>
        </w:rPr>
        <w:t>2.2.7  乙方承诺遵从诚信原则，以委托投资资产利益为重，运用科学的手段管理和控制风险，以专业的投资管理争取委托投资资产的保值增值。</w:t>
      </w:r>
    </w:p>
    <w:p>
      <w:pPr>
        <w:spacing w:line="360" w:lineRule="auto"/>
        <w:ind w:firstLine="560" w:firstLineChars="200"/>
        <w:rPr>
          <w:rFonts w:hint="eastAsia" w:ascii="仿宋_GB2312" w:hAnsi="宋体" w:eastAsia="仿宋_GB2312"/>
          <w:color w:val="000000"/>
          <w:kern w:val="0"/>
          <w:sz w:val="28"/>
          <w:szCs w:val="28"/>
          <w:shd w:val="clear" w:color="auto" w:fill="FFFFFF"/>
        </w:rPr>
      </w:pPr>
      <w:r>
        <w:rPr>
          <w:rFonts w:hint="eastAsia" w:ascii="仿宋_GB2312" w:hAnsi="宋体" w:eastAsia="仿宋_GB2312"/>
          <w:color w:val="000000"/>
          <w:kern w:val="0"/>
          <w:sz w:val="28"/>
          <w:szCs w:val="28"/>
          <w:shd w:val="clear" w:color="auto" w:fill="FFFFFF"/>
        </w:rPr>
        <w:t>2.2.8  乙方承诺将选派具有基金从业资格的专业人员负责甲方委托投资资产的投资管理工作，在法律法规规定和本合同约定的范围内进行投资运作。</w:t>
      </w:r>
    </w:p>
    <w:p>
      <w:pPr>
        <w:spacing w:line="360" w:lineRule="auto"/>
        <w:ind w:firstLine="560" w:firstLineChars="200"/>
        <w:rPr>
          <w:rFonts w:hint="eastAsia" w:ascii="仿宋_GB2312" w:hAnsi="宋体" w:eastAsia="仿宋_GB2312"/>
          <w:color w:val="000000"/>
          <w:kern w:val="0"/>
          <w:sz w:val="28"/>
          <w:szCs w:val="28"/>
          <w:shd w:val="clear" w:color="auto" w:fill="FFFFFF"/>
        </w:rPr>
      </w:pPr>
      <w:r>
        <w:rPr>
          <w:rFonts w:hint="eastAsia" w:ascii="仿宋_GB2312" w:hAnsi="宋体" w:eastAsia="仿宋_GB2312"/>
          <w:color w:val="000000"/>
          <w:kern w:val="0"/>
          <w:sz w:val="28"/>
          <w:szCs w:val="28"/>
          <w:shd w:val="clear" w:color="auto" w:fill="FFFFFF"/>
        </w:rPr>
        <w:t>2.2.9 乙方承诺与托管人和其他管理人互相协助、互相配合，共同完成企业年金基金投资管理工作。</w:t>
      </w:r>
    </w:p>
    <w:p>
      <w:pPr>
        <w:spacing w:line="360" w:lineRule="auto"/>
        <w:ind w:firstLine="560" w:firstLineChars="200"/>
        <w:rPr>
          <w:rFonts w:hint="eastAsia" w:ascii="仿宋_GB2312" w:hAnsi="宋体" w:eastAsia="仿宋_GB2312"/>
          <w:color w:val="000000"/>
          <w:kern w:val="0"/>
          <w:sz w:val="28"/>
          <w:szCs w:val="28"/>
          <w:shd w:val="clear" w:color="auto" w:fill="FFFFFF"/>
        </w:rPr>
      </w:pPr>
      <w:r>
        <w:rPr>
          <w:rFonts w:hint="eastAsia" w:ascii="仿宋_GB2312" w:hAnsi="宋体" w:eastAsia="仿宋_GB2312"/>
          <w:color w:val="000000"/>
          <w:kern w:val="0"/>
          <w:sz w:val="28"/>
          <w:szCs w:val="28"/>
          <w:shd w:val="clear" w:color="auto" w:fill="FFFFFF"/>
        </w:rPr>
        <w:t>2.2.10  乙方承诺提供给甲方的所有信息资料均合法、真实、准确、完整，没有任何虚假陈述、重大遗漏和误导，如有关信息资料发生实质性变更，乙方应当及时告知甲方。</w:t>
      </w:r>
    </w:p>
    <w:p>
      <w:pPr>
        <w:spacing w:line="360" w:lineRule="auto"/>
        <w:ind w:firstLine="560" w:firstLineChars="200"/>
        <w:rPr>
          <w:rFonts w:hint="eastAsia" w:ascii="仿宋_GB2312" w:hAnsi="宋体" w:eastAsia="仿宋_GB2312"/>
          <w:color w:val="000000"/>
          <w:kern w:val="0"/>
          <w:sz w:val="28"/>
          <w:szCs w:val="28"/>
          <w:shd w:val="clear" w:color="auto" w:fill="FFFFFF"/>
        </w:rPr>
      </w:pPr>
      <w:r>
        <w:rPr>
          <w:rFonts w:hint="eastAsia" w:ascii="仿宋_GB2312" w:hAnsi="宋体" w:eastAsia="仿宋_GB2312"/>
          <w:color w:val="000000"/>
          <w:kern w:val="0"/>
          <w:sz w:val="28"/>
          <w:szCs w:val="28"/>
          <w:shd w:val="clear" w:color="auto" w:fill="FFFFFF"/>
        </w:rPr>
        <w:t>2.2.11  乙方承诺要求其工作人员严格遵守法律法规、职业道德规范。</w:t>
      </w:r>
    </w:p>
    <w:p>
      <w:pPr>
        <w:pStyle w:val="2"/>
        <w:jc w:val="center"/>
        <w:rPr>
          <w:rFonts w:hint="eastAsia" w:ascii="黑体" w:hAnsi="黑体" w:eastAsia="黑体"/>
          <w:b w:val="0"/>
          <w:sz w:val="28"/>
          <w:szCs w:val="28"/>
          <w:shd w:val="clear" w:color="auto" w:fill="FFFFFF"/>
        </w:rPr>
      </w:pPr>
      <w:r>
        <w:rPr>
          <w:rFonts w:hint="eastAsia" w:ascii="黑体" w:eastAsia="黑体"/>
          <w:sz w:val="28"/>
          <w:szCs w:val="28"/>
          <w:shd w:val="clear" w:color="auto" w:fill="FFFFFF"/>
        </w:rPr>
        <w:t xml:space="preserve">  </w:t>
      </w:r>
      <w:bookmarkStart w:id="7" w:name="_Toc319934282"/>
      <w:r>
        <w:rPr>
          <w:rFonts w:hint="eastAsia" w:ascii="黑体" w:hAnsi="黑体" w:eastAsia="黑体"/>
          <w:b w:val="0"/>
          <w:sz w:val="28"/>
          <w:szCs w:val="28"/>
          <w:shd w:val="clear" w:color="auto" w:fill="FFFFFF"/>
        </w:rPr>
        <w:t xml:space="preserve">第三章  </w:t>
      </w:r>
      <w:r>
        <w:rPr>
          <w:rStyle w:val="17"/>
          <w:rFonts w:hint="eastAsia" w:ascii="黑体" w:eastAsia="黑体"/>
          <w:sz w:val="28"/>
          <w:szCs w:val="28"/>
          <w:shd w:val="clear" w:color="auto" w:fill="FFFFFF"/>
        </w:rPr>
        <w:t>权利与义务</w:t>
      </w:r>
      <w:bookmarkEnd w:id="7"/>
    </w:p>
    <w:p>
      <w:pPr>
        <w:spacing w:line="360" w:lineRule="auto"/>
        <w:ind w:firstLine="560" w:firstLineChars="200"/>
        <w:rPr>
          <w:rFonts w:hint="eastAsia" w:ascii="仿宋_GB2312" w:eastAsia="仿宋_GB2312"/>
          <w:sz w:val="28"/>
          <w:szCs w:val="28"/>
          <w:shd w:val="clear" w:color="auto" w:fill="FFFFFF"/>
        </w:rPr>
      </w:pPr>
      <w:r>
        <w:rPr>
          <w:rFonts w:hint="eastAsia" w:ascii="仿宋_GB2312" w:eastAsia="仿宋_GB2312"/>
          <w:sz w:val="28"/>
          <w:szCs w:val="28"/>
          <w:shd w:val="clear" w:color="auto" w:fill="FFFFFF"/>
        </w:rPr>
        <w:t>3.1  甲方的权利。</w:t>
      </w:r>
    </w:p>
    <w:p>
      <w:pPr>
        <w:tabs>
          <w:tab w:val="left" w:pos="540"/>
        </w:tabs>
        <w:spacing w:line="360" w:lineRule="auto"/>
        <w:ind w:firstLine="560" w:firstLineChars="200"/>
        <w:rPr>
          <w:rFonts w:hint="eastAsia" w:ascii="仿宋_GB2312" w:eastAsia="仿宋_GB2312"/>
          <w:sz w:val="28"/>
          <w:szCs w:val="28"/>
          <w:shd w:val="clear" w:color="auto" w:fill="FFFFFF"/>
        </w:rPr>
      </w:pPr>
      <w:r>
        <w:rPr>
          <w:rFonts w:hint="eastAsia" w:ascii="仿宋_GB2312" w:eastAsia="仿宋_GB2312"/>
          <w:sz w:val="28"/>
          <w:szCs w:val="28"/>
          <w:shd w:val="clear" w:color="auto" w:fill="FFFFFF"/>
        </w:rPr>
        <w:t>3.1.1  监督、核查乙方能否按照法律法规规定及本合同约定履行投资管理职责，并要求乙方对投资管理情况做出说明。</w:t>
      </w:r>
    </w:p>
    <w:p>
      <w:pPr>
        <w:tabs>
          <w:tab w:val="left" w:pos="540"/>
        </w:tabs>
        <w:spacing w:line="360" w:lineRule="auto"/>
        <w:ind w:firstLine="560" w:firstLineChars="200"/>
        <w:rPr>
          <w:rFonts w:hint="eastAsia" w:ascii="仿宋_GB2312" w:eastAsia="仿宋_GB2312"/>
          <w:sz w:val="28"/>
          <w:szCs w:val="28"/>
          <w:shd w:val="clear" w:color="auto" w:fill="FFFFFF"/>
        </w:rPr>
      </w:pPr>
      <w:r>
        <w:rPr>
          <w:rFonts w:hint="eastAsia" w:ascii="仿宋_GB2312" w:eastAsia="仿宋_GB2312"/>
          <w:sz w:val="28"/>
          <w:szCs w:val="28"/>
          <w:shd w:val="clear" w:color="auto" w:fill="FFFFFF"/>
        </w:rPr>
        <w:t xml:space="preserve">3.1.2  </w:t>
      </w:r>
      <w:r>
        <w:rPr>
          <w:rFonts w:hint="eastAsia" w:ascii="仿宋_GB2312" w:hAnsi="宋体" w:eastAsia="仿宋_GB2312"/>
          <w:kern w:val="0"/>
          <w:sz w:val="28"/>
          <w:szCs w:val="28"/>
          <w:shd w:val="clear" w:color="auto" w:fill="FFFFFF"/>
        </w:rPr>
        <w:t>制定企业年金基金战略资产配置策略。</w:t>
      </w:r>
    </w:p>
    <w:p>
      <w:pPr>
        <w:tabs>
          <w:tab w:val="left" w:pos="540"/>
        </w:tabs>
        <w:spacing w:line="360" w:lineRule="auto"/>
        <w:ind w:firstLine="560" w:firstLineChars="200"/>
        <w:rPr>
          <w:rFonts w:hint="eastAsia" w:ascii="仿宋_GB2312" w:eastAsia="仿宋_GB2312"/>
          <w:sz w:val="28"/>
          <w:szCs w:val="28"/>
          <w:shd w:val="clear" w:color="auto" w:fill="FFFFFF"/>
        </w:rPr>
      </w:pPr>
      <w:r>
        <w:rPr>
          <w:rFonts w:hint="eastAsia" w:ascii="仿宋_GB2312" w:eastAsia="仿宋_GB2312"/>
          <w:sz w:val="28"/>
          <w:szCs w:val="28"/>
          <w:shd w:val="clear" w:color="auto" w:fill="FFFFFF"/>
        </w:rPr>
        <w:t>3.1.3  定期从乙方获取企业年金基金投资管理报告。</w:t>
      </w:r>
    </w:p>
    <w:p>
      <w:pPr>
        <w:tabs>
          <w:tab w:val="left" w:pos="540"/>
        </w:tabs>
        <w:spacing w:line="360" w:lineRule="auto"/>
        <w:ind w:firstLine="560" w:firstLineChars="200"/>
        <w:rPr>
          <w:rFonts w:hint="eastAsia" w:ascii="仿宋_GB2312" w:eastAsia="仿宋_GB2312"/>
          <w:sz w:val="28"/>
          <w:szCs w:val="28"/>
          <w:shd w:val="clear" w:color="auto" w:fill="FFFFFF"/>
        </w:rPr>
      </w:pPr>
      <w:r>
        <w:rPr>
          <w:rFonts w:hint="eastAsia" w:ascii="仿宋_GB2312" w:eastAsia="仿宋_GB2312"/>
          <w:sz w:val="28"/>
          <w:szCs w:val="28"/>
          <w:shd w:val="clear" w:color="auto" w:fill="FFFFFF"/>
        </w:rPr>
        <w:t>3.1.4  依据法律法规规定，查阅、抄录或者复制与本企业年金基金投资组合投资管理相关的账目及其他资料。</w:t>
      </w:r>
    </w:p>
    <w:p>
      <w:pPr>
        <w:tabs>
          <w:tab w:val="left" w:pos="540"/>
        </w:tabs>
        <w:spacing w:line="360" w:lineRule="auto"/>
        <w:ind w:firstLine="560" w:firstLineChars="200"/>
        <w:rPr>
          <w:rFonts w:hint="eastAsia" w:ascii="仿宋_GB2312" w:eastAsia="仿宋_GB2312"/>
          <w:sz w:val="28"/>
          <w:szCs w:val="28"/>
          <w:shd w:val="clear" w:color="auto" w:fill="FFFFFF"/>
        </w:rPr>
      </w:pPr>
      <w:r>
        <w:rPr>
          <w:rFonts w:hint="eastAsia" w:ascii="仿宋_GB2312" w:eastAsia="仿宋_GB2312"/>
          <w:sz w:val="28"/>
          <w:szCs w:val="28"/>
          <w:shd w:val="clear" w:color="auto" w:fill="FFFFFF"/>
        </w:rPr>
        <w:t>3.1.5  按本合同约定终止合同。</w:t>
      </w:r>
    </w:p>
    <w:p>
      <w:pPr>
        <w:tabs>
          <w:tab w:val="left" w:pos="540"/>
        </w:tabs>
        <w:spacing w:line="360" w:lineRule="auto"/>
        <w:ind w:firstLine="560" w:firstLineChars="200"/>
        <w:rPr>
          <w:rFonts w:hint="eastAsia" w:ascii="仿宋_GB2312" w:eastAsia="仿宋_GB2312"/>
          <w:sz w:val="28"/>
          <w:szCs w:val="28"/>
          <w:shd w:val="clear" w:color="auto" w:fill="FFFFFF"/>
        </w:rPr>
      </w:pPr>
      <w:r>
        <w:rPr>
          <w:rFonts w:hint="eastAsia" w:ascii="仿宋_GB2312" w:eastAsia="仿宋_GB2312"/>
          <w:sz w:val="28"/>
          <w:szCs w:val="28"/>
          <w:shd w:val="clear" w:color="auto" w:fill="FFFFFF"/>
        </w:rPr>
        <w:t>3.1.6  行使法律法规规定及本合同约定的其他权利。</w:t>
      </w:r>
    </w:p>
    <w:p>
      <w:pPr>
        <w:tabs>
          <w:tab w:val="left" w:pos="540"/>
        </w:tabs>
        <w:spacing w:line="360" w:lineRule="auto"/>
        <w:ind w:firstLine="560" w:firstLineChars="200"/>
        <w:rPr>
          <w:rFonts w:hint="eastAsia" w:ascii="仿宋_GB2312" w:eastAsia="仿宋_GB2312"/>
          <w:sz w:val="28"/>
          <w:szCs w:val="28"/>
          <w:shd w:val="clear" w:color="auto" w:fill="FFFFFF"/>
        </w:rPr>
      </w:pPr>
      <w:r>
        <w:rPr>
          <w:rFonts w:hint="eastAsia" w:ascii="仿宋_GB2312" w:eastAsia="仿宋_GB2312"/>
          <w:sz w:val="28"/>
          <w:szCs w:val="28"/>
          <w:shd w:val="clear" w:color="auto" w:fill="FFFFFF"/>
        </w:rPr>
        <w:t>3.2  甲方的义务。</w:t>
      </w:r>
    </w:p>
    <w:p>
      <w:pPr>
        <w:pStyle w:val="8"/>
        <w:spacing w:line="360" w:lineRule="auto"/>
        <w:ind w:firstLine="560" w:firstLineChars="200"/>
        <w:rPr>
          <w:rFonts w:hint="eastAsia" w:ascii="仿宋_GB2312" w:eastAsia="仿宋_GB2312"/>
          <w:sz w:val="28"/>
          <w:szCs w:val="28"/>
          <w:shd w:val="clear" w:color="auto" w:fill="FFFFFF"/>
        </w:rPr>
      </w:pPr>
      <w:r>
        <w:rPr>
          <w:rFonts w:hint="eastAsia" w:ascii="仿宋_GB2312" w:hAnsi="Times New Roman" w:eastAsia="仿宋_GB2312"/>
          <w:sz w:val="28"/>
          <w:szCs w:val="28"/>
          <w:shd w:val="clear" w:color="auto" w:fill="FFFFFF"/>
        </w:rPr>
        <w:t xml:space="preserve">3.2.1  </w:t>
      </w:r>
      <w:r>
        <w:rPr>
          <w:rFonts w:hint="eastAsia" w:ascii="仿宋_GB2312" w:eastAsia="仿宋_GB2312"/>
          <w:sz w:val="28"/>
          <w:szCs w:val="28"/>
          <w:shd w:val="clear" w:color="auto" w:fill="FFFFFF"/>
        </w:rPr>
        <w:t>遵守法律法规规定及本合同约定，不损害国家、社会公众和受益人的合法权益，如法律法规调整，应当及时与乙方协商，相应调整本合同相关内容。</w:t>
      </w:r>
    </w:p>
    <w:p>
      <w:pPr>
        <w:spacing w:line="360" w:lineRule="auto"/>
        <w:ind w:firstLine="560" w:firstLineChars="200"/>
        <w:rPr>
          <w:rFonts w:hint="eastAsia" w:ascii="仿宋_GB2312" w:eastAsia="仿宋_GB2312"/>
          <w:sz w:val="28"/>
          <w:szCs w:val="28"/>
          <w:shd w:val="clear" w:color="auto" w:fill="FFFFFF"/>
        </w:rPr>
      </w:pPr>
      <w:r>
        <w:rPr>
          <w:rFonts w:hint="eastAsia" w:ascii="仿宋_GB2312" w:eastAsia="仿宋_GB2312"/>
          <w:sz w:val="28"/>
          <w:szCs w:val="28"/>
          <w:shd w:val="clear" w:color="auto" w:fill="FFFFFF"/>
        </w:rPr>
        <w:t xml:space="preserve">3.2.2  负责向乙方提供企业年金计划确认函。 </w:t>
      </w:r>
    </w:p>
    <w:p>
      <w:pPr>
        <w:spacing w:line="360" w:lineRule="auto"/>
        <w:ind w:firstLine="560" w:firstLineChars="200"/>
        <w:rPr>
          <w:rFonts w:hint="eastAsia" w:ascii="仿宋_GB2312" w:eastAsia="仿宋_GB2312"/>
          <w:sz w:val="28"/>
          <w:szCs w:val="28"/>
          <w:shd w:val="clear" w:color="auto" w:fill="FFFFFF"/>
        </w:rPr>
      </w:pPr>
      <w:r>
        <w:rPr>
          <w:rFonts w:hint="eastAsia" w:ascii="仿宋_GB2312" w:eastAsia="仿宋_GB2312"/>
          <w:sz w:val="28"/>
          <w:szCs w:val="28"/>
          <w:shd w:val="clear" w:color="auto" w:fill="FFFFFF"/>
        </w:rPr>
        <w:t>3.2.3  按照本合同的约定，将委托投资资产交由乙方进行投资管理。</w:t>
      </w:r>
    </w:p>
    <w:p>
      <w:pPr>
        <w:tabs>
          <w:tab w:val="left" w:pos="540"/>
        </w:tabs>
        <w:spacing w:line="360" w:lineRule="auto"/>
        <w:ind w:firstLine="560" w:firstLineChars="200"/>
        <w:rPr>
          <w:rFonts w:hint="eastAsia" w:ascii="仿宋_GB2312" w:eastAsia="仿宋_GB2312"/>
          <w:sz w:val="28"/>
          <w:szCs w:val="28"/>
          <w:shd w:val="clear" w:color="auto" w:fill="FFFFFF"/>
        </w:rPr>
      </w:pPr>
      <w:r>
        <w:rPr>
          <w:rFonts w:hint="eastAsia" w:ascii="仿宋_GB2312" w:hAnsi="宋体" w:eastAsia="仿宋_GB2312"/>
          <w:sz w:val="28"/>
          <w:szCs w:val="28"/>
          <w:shd w:val="clear" w:color="auto" w:fill="FFFFFF"/>
        </w:rPr>
        <w:t xml:space="preserve">3.2.4  </w:t>
      </w:r>
      <w:r>
        <w:rPr>
          <w:rFonts w:hint="eastAsia" w:ascii="仿宋_GB2312" w:eastAsia="仿宋_GB2312"/>
          <w:sz w:val="28"/>
          <w:szCs w:val="28"/>
          <w:shd w:val="clear" w:color="auto" w:fill="FFFFFF"/>
        </w:rPr>
        <w:t>按照本合同的约定从企业年金基金财产中向乙方及时、足额支付投资管理费。</w:t>
      </w:r>
    </w:p>
    <w:p>
      <w:pPr>
        <w:tabs>
          <w:tab w:val="left" w:pos="540"/>
        </w:tabs>
        <w:spacing w:line="360" w:lineRule="auto"/>
        <w:ind w:firstLine="560" w:firstLineChars="200"/>
        <w:rPr>
          <w:rFonts w:hint="eastAsia" w:ascii="仿宋_GB2312" w:hAnsi="宋体" w:eastAsia="仿宋_GB2312"/>
          <w:sz w:val="28"/>
          <w:szCs w:val="28"/>
          <w:shd w:val="clear" w:color="auto" w:fill="FFFFFF"/>
        </w:rPr>
      </w:pPr>
      <w:r>
        <w:rPr>
          <w:rFonts w:hint="eastAsia" w:ascii="仿宋_GB2312" w:hAnsi="宋体" w:eastAsia="仿宋_GB2312"/>
          <w:sz w:val="28"/>
          <w:szCs w:val="28"/>
          <w:shd w:val="clear" w:color="auto" w:fill="FFFFFF"/>
        </w:rPr>
        <w:t xml:space="preserve">3.2.5 </w:t>
      </w:r>
      <w:r>
        <w:rPr>
          <w:rFonts w:hint="eastAsia" w:ascii="仿宋_GB2312" w:eastAsia="仿宋_GB2312"/>
          <w:sz w:val="28"/>
          <w:szCs w:val="28"/>
          <w:shd w:val="clear" w:color="auto" w:fill="FFFFFF"/>
        </w:rPr>
        <w:t xml:space="preserve"> 协调托管人及其他管理人配合乙方做好企业年金基金投资管理工作。</w:t>
      </w:r>
      <w:r>
        <w:rPr>
          <w:rFonts w:hint="eastAsia" w:ascii="仿宋_GB2312" w:hAnsi="宋体" w:eastAsia="仿宋_GB2312"/>
          <w:sz w:val="28"/>
          <w:szCs w:val="28"/>
          <w:shd w:val="clear" w:color="auto" w:fill="FFFFFF"/>
        </w:rPr>
        <w:t xml:space="preserve"> </w:t>
      </w:r>
    </w:p>
    <w:p>
      <w:pPr>
        <w:tabs>
          <w:tab w:val="left" w:pos="540"/>
        </w:tabs>
        <w:spacing w:line="360" w:lineRule="auto"/>
        <w:ind w:firstLine="560" w:firstLineChars="200"/>
        <w:rPr>
          <w:rFonts w:hint="eastAsia" w:ascii="仿宋_GB2312" w:hAnsi="宋体" w:eastAsia="仿宋_GB2312"/>
          <w:sz w:val="28"/>
          <w:szCs w:val="28"/>
          <w:shd w:val="clear" w:color="auto" w:fill="FFFFFF"/>
        </w:rPr>
      </w:pPr>
      <w:r>
        <w:rPr>
          <w:rFonts w:hint="eastAsia" w:ascii="仿宋_GB2312" w:hAnsi="宋体" w:eastAsia="仿宋_GB2312"/>
          <w:sz w:val="28"/>
          <w:szCs w:val="28"/>
          <w:shd w:val="clear" w:color="auto" w:fill="FFFFFF"/>
        </w:rPr>
        <w:t>3.2.6  保守商业秘密，不得泄露委托投资资产的投资计划、投资意向等。</w:t>
      </w:r>
    </w:p>
    <w:p>
      <w:pPr>
        <w:tabs>
          <w:tab w:val="left" w:pos="540"/>
        </w:tabs>
        <w:spacing w:line="360" w:lineRule="auto"/>
        <w:ind w:firstLine="560" w:firstLineChars="200"/>
        <w:rPr>
          <w:rFonts w:hint="eastAsia" w:ascii="仿宋_GB2312" w:hAnsi="宋体" w:eastAsia="仿宋_GB2312"/>
          <w:sz w:val="28"/>
          <w:szCs w:val="28"/>
          <w:shd w:val="clear" w:color="auto" w:fill="FFFFFF"/>
        </w:rPr>
      </w:pPr>
      <w:r>
        <w:rPr>
          <w:rFonts w:hint="eastAsia" w:ascii="仿宋_GB2312" w:hAnsi="宋体" w:eastAsia="仿宋_GB2312"/>
          <w:sz w:val="28"/>
          <w:szCs w:val="28"/>
          <w:shd w:val="clear" w:color="auto" w:fill="FFFFFF"/>
        </w:rPr>
        <w:t>3.2.7  在本合同有效期内发生变更管理人等企业年金计划变更事项时，甲方应当及时向乙方出具书面通知，并组织做好业务交接等工作。</w:t>
      </w:r>
    </w:p>
    <w:p>
      <w:pPr>
        <w:spacing w:line="360" w:lineRule="auto"/>
        <w:ind w:firstLine="560" w:firstLineChars="200"/>
        <w:rPr>
          <w:rFonts w:hint="eastAsia" w:ascii="仿宋_GB2312" w:eastAsia="仿宋_GB2312"/>
          <w:sz w:val="28"/>
          <w:szCs w:val="28"/>
          <w:shd w:val="clear" w:color="auto" w:fill="FFFFFF"/>
        </w:rPr>
      </w:pPr>
      <w:r>
        <w:rPr>
          <w:rFonts w:hint="eastAsia" w:ascii="仿宋_GB2312" w:hAnsi="宋体" w:eastAsia="仿宋_GB2312"/>
          <w:sz w:val="28"/>
          <w:szCs w:val="28"/>
          <w:shd w:val="clear" w:color="auto" w:fill="FFFFFF"/>
        </w:rPr>
        <w:t xml:space="preserve">3.2.8  </w:t>
      </w:r>
      <w:r>
        <w:rPr>
          <w:rFonts w:hint="eastAsia" w:ascii="仿宋_GB2312" w:eastAsia="仿宋_GB2312"/>
          <w:sz w:val="28"/>
          <w:szCs w:val="28"/>
          <w:shd w:val="clear" w:color="auto" w:fill="FFFFFF"/>
        </w:rPr>
        <w:t>履行法律法规规定及本合同约定的其他义务。</w:t>
      </w:r>
    </w:p>
    <w:p>
      <w:pPr>
        <w:spacing w:line="360" w:lineRule="auto"/>
        <w:ind w:left="-2" w:leftChars="-1" w:firstLine="560" w:firstLineChars="200"/>
        <w:rPr>
          <w:rFonts w:hint="eastAsia" w:ascii="仿宋_GB2312" w:eastAsia="仿宋_GB2312"/>
          <w:sz w:val="28"/>
          <w:szCs w:val="28"/>
          <w:shd w:val="clear" w:color="auto" w:fill="FFFFFF"/>
        </w:rPr>
      </w:pPr>
      <w:r>
        <w:rPr>
          <w:rFonts w:hint="eastAsia" w:ascii="仿宋_GB2312" w:eastAsia="仿宋_GB2312"/>
          <w:sz w:val="28"/>
          <w:szCs w:val="28"/>
          <w:shd w:val="clear" w:color="auto" w:fill="FFFFFF"/>
        </w:rPr>
        <w:t>3.3  乙方的权利。</w:t>
      </w:r>
    </w:p>
    <w:p>
      <w:pPr>
        <w:spacing w:line="360" w:lineRule="auto"/>
        <w:ind w:left="-2" w:leftChars="-1" w:firstLine="560" w:firstLineChars="200"/>
        <w:rPr>
          <w:rFonts w:hint="eastAsia" w:ascii="仿宋_GB2312" w:eastAsia="仿宋_GB2312"/>
          <w:sz w:val="28"/>
          <w:szCs w:val="28"/>
          <w:shd w:val="clear" w:color="auto" w:fill="FFFFFF"/>
        </w:rPr>
      </w:pPr>
      <w:r>
        <w:rPr>
          <w:rFonts w:hint="eastAsia" w:ascii="仿宋_GB2312" w:eastAsia="仿宋_GB2312"/>
          <w:sz w:val="28"/>
          <w:szCs w:val="28"/>
          <w:shd w:val="clear" w:color="auto" w:fill="FFFFFF"/>
        </w:rPr>
        <w:t>3.3.1  按照本合同约定对委托投资资产进行投资管理。</w:t>
      </w:r>
    </w:p>
    <w:p>
      <w:pPr>
        <w:spacing w:line="360" w:lineRule="auto"/>
        <w:ind w:left="-2" w:leftChars="-1" w:firstLine="560" w:firstLineChars="200"/>
        <w:rPr>
          <w:rFonts w:hint="eastAsia" w:ascii="仿宋_GB2312" w:eastAsia="仿宋_GB2312"/>
          <w:sz w:val="28"/>
          <w:szCs w:val="28"/>
          <w:shd w:val="clear" w:color="auto" w:fill="FFFFFF"/>
        </w:rPr>
      </w:pPr>
      <w:r>
        <w:rPr>
          <w:rFonts w:hint="eastAsia" w:ascii="仿宋_GB2312" w:eastAsia="仿宋_GB2312"/>
          <w:sz w:val="28"/>
          <w:szCs w:val="28"/>
          <w:shd w:val="clear" w:color="auto" w:fill="FFFFFF"/>
        </w:rPr>
        <w:t>3.3.2  按照法律法规规定，代表委托投资资产行使委托投资资产所享有的股东权利、债券持有人权利、基金份额持有人权利等。</w:t>
      </w:r>
    </w:p>
    <w:p>
      <w:pPr>
        <w:tabs>
          <w:tab w:val="left" w:pos="540"/>
        </w:tabs>
        <w:spacing w:line="360" w:lineRule="auto"/>
        <w:ind w:firstLine="560" w:firstLineChars="200"/>
        <w:rPr>
          <w:rFonts w:hint="eastAsia" w:ascii="仿宋_GB2312" w:eastAsia="仿宋_GB2312"/>
          <w:sz w:val="28"/>
          <w:szCs w:val="28"/>
          <w:shd w:val="clear" w:color="auto" w:fill="FFFFFF"/>
        </w:rPr>
      </w:pPr>
      <w:r>
        <w:rPr>
          <w:rFonts w:hint="eastAsia" w:ascii="仿宋_GB2312" w:eastAsia="仿宋_GB2312"/>
          <w:sz w:val="28"/>
          <w:szCs w:val="28"/>
          <w:shd w:val="clear" w:color="auto" w:fill="FFFFFF"/>
        </w:rPr>
        <w:t>3.3.3　要求甲方协调托管人及其他管理人配合其对委托投资资产的投资管理。</w:t>
      </w:r>
    </w:p>
    <w:p>
      <w:pPr>
        <w:tabs>
          <w:tab w:val="left" w:pos="540"/>
        </w:tabs>
        <w:spacing w:line="360" w:lineRule="auto"/>
        <w:ind w:firstLine="560" w:firstLineChars="200"/>
        <w:rPr>
          <w:rFonts w:hint="eastAsia" w:ascii="仿宋_GB2312" w:eastAsia="仿宋_GB2312"/>
          <w:sz w:val="28"/>
          <w:szCs w:val="28"/>
          <w:shd w:val="clear" w:color="auto" w:fill="FFFFFF"/>
        </w:rPr>
      </w:pPr>
      <w:r>
        <w:rPr>
          <w:rFonts w:hint="eastAsia" w:ascii="仿宋_GB2312" w:eastAsia="仿宋_GB2312"/>
          <w:sz w:val="28"/>
          <w:szCs w:val="28"/>
          <w:shd w:val="clear" w:color="auto" w:fill="FFFFFF"/>
        </w:rPr>
        <w:t>3.3.4　按照本合同约定及时获取履行投资管理必需的资料及相关信息。</w:t>
      </w:r>
    </w:p>
    <w:p>
      <w:pPr>
        <w:tabs>
          <w:tab w:val="left" w:pos="540"/>
        </w:tabs>
        <w:spacing w:line="360" w:lineRule="auto"/>
        <w:ind w:firstLine="560" w:firstLineChars="200"/>
        <w:rPr>
          <w:rFonts w:hint="eastAsia" w:ascii="仿宋_GB2312" w:eastAsia="仿宋_GB2312"/>
          <w:sz w:val="28"/>
          <w:szCs w:val="28"/>
          <w:shd w:val="clear" w:color="auto" w:fill="FFFFFF"/>
        </w:rPr>
      </w:pPr>
      <w:r>
        <w:rPr>
          <w:rFonts w:hint="eastAsia" w:ascii="仿宋_GB2312" w:eastAsia="仿宋_GB2312"/>
          <w:sz w:val="28"/>
          <w:szCs w:val="28"/>
          <w:shd w:val="clear" w:color="auto" w:fill="FFFFFF"/>
        </w:rPr>
        <w:t>3.3.5　按照本合同约定及时、足额取得投资管理费收入。</w:t>
      </w:r>
    </w:p>
    <w:p>
      <w:pPr>
        <w:tabs>
          <w:tab w:val="left" w:pos="540"/>
        </w:tabs>
        <w:spacing w:line="360" w:lineRule="auto"/>
        <w:ind w:firstLine="560" w:firstLineChars="200"/>
        <w:rPr>
          <w:rFonts w:hint="eastAsia" w:ascii="仿宋_GB2312" w:eastAsia="仿宋_GB2312"/>
          <w:sz w:val="28"/>
          <w:szCs w:val="28"/>
          <w:shd w:val="clear" w:color="auto" w:fill="FFFFFF"/>
        </w:rPr>
      </w:pPr>
      <w:r>
        <w:rPr>
          <w:rFonts w:hint="eastAsia" w:ascii="仿宋_GB2312" w:eastAsia="仿宋_GB2312"/>
          <w:sz w:val="28"/>
          <w:szCs w:val="28"/>
          <w:shd w:val="clear" w:color="auto" w:fill="FFFFFF"/>
        </w:rPr>
        <w:t>3.3.6  有充足理由认为兼任投资管理人的甲方的行为对乙方不公正时，可向甲方提出异议或向监管部门投诉。</w:t>
      </w:r>
    </w:p>
    <w:p>
      <w:pPr>
        <w:tabs>
          <w:tab w:val="left" w:pos="540"/>
        </w:tabs>
        <w:spacing w:line="360" w:lineRule="auto"/>
        <w:ind w:firstLine="560" w:firstLineChars="200"/>
        <w:rPr>
          <w:rFonts w:hint="eastAsia" w:ascii="仿宋_GB2312" w:eastAsia="仿宋_GB2312"/>
          <w:sz w:val="28"/>
          <w:szCs w:val="28"/>
          <w:shd w:val="clear" w:color="auto" w:fill="FFFFFF"/>
        </w:rPr>
      </w:pPr>
      <w:r>
        <w:rPr>
          <w:rFonts w:hint="eastAsia" w:ascii="仿宋_GB2312" w:eastAsia="仿宋_GB2312"/>
          <w:sz w:val="28"/>
          <w:szCs w:val="28"/>
          <w:shd w:val="clear" w:color="auto" w:fill="FFFFFF"/>
        </w:rPr>
        <w:t>3.3.7  行使法律法规规定及本合同约定的其他权利。</w:t>
      </w:r>
    </w:p>
    <w:p>
      <w:pPr>
        <w:tabs>
          <w:tab w:val="left" w:pos="540"/>
        </w:tabs>
        <w:spacing w:line="360" w:lineRule="auto"/>
        <w:ind w:firstLine="560" w:firstLineChars="200"/>
        <w:rPr>
          <w:rFonts w:hint="eastAsia" w:ascii="仿宋_GB2312" w:eastAsia="仿宋_GB2312"/>
          <w:sz w:val="28"/>
          <w:szCs w:val="28"/>
          <w:shd w:val="clear" w:color="auto" w:fill="FFFFFF"/>
        </w:rPr>
      </w:pPr>
      <w:r>
        <w:rPr>
          <w:rFonts w:hint="eastAsia" w:ascii="仿宋_GB2312" w:eastAsia="仿宋_GB2312"/>
          <w:sz w:val="28"/>
          <w:szCs w:val="28"/>
          <w:shd w:val="clear" w:color="auto" w:fill="FFFFFF"/>
        </w:rPr>
        <w:t>3.4  乙方的义务</w:t>
      </w:r>
    </w:p>
    <w:p>
      <w:pPr>
        <w:tabs>
          <w:tab w:val="left" w:pos="540"/>
        </w:tabs>
        <w:spacing w:line="360" w:lineRule="auto"/>
        <w:ind w:firstLine="560" w:firstLineChars="200"/>
        <w:rPr>
          <w:rFonts w:hint="eastAsia" w:ascii="仿宋_GB2312" w:eastAsia="仿宋_GB2312"/>
          <w:sz w:val="28"/>
          <w:szCs w:val="28"/>
          <w:shd w:val="clear" w:color="auto" w:fill="FFFFFF"/>
        </w:rPr>
      </w:pPr>
      <w:r>
        <w:rPr>
          <w:rFonts w:hint="eastAsia" w:ascii="仿宋_GB2312" w:eastAsia="仿宋_GB2312"/>
          <w:sz w:val="28"/>
          <w:szCs w:val="28"/>
          <w:shd w:val="clear" w:color="auto" w:fill="FFFFFF"/>
        </w:rPr>
        <w:t>3.4.1  遵守法律法规规定及本合同约定，不损害国家、社会公众和受益人的合法权益，如相关法律法规调整，应当及时与甲方协商，相应调整本合同相关内容。</w:t>
      </w:r>
    </w:p>
    <w:p>
      <w:pPr>
        <w:tabs>
          <w:tab w:val="left" w:pos="540"/>
        </w:tabs>
        <w:spacing w:line="360" w:lineRule="auto"/>
        <w:ind w:firstLine="560" w:firstLineChars="200"/>
        <w:rPr>
          <w:rFonts w:hint="eastAsia" w:ascii="仿宋_GB2312" w:eastAsia="仿宋_GB2312"/>
          <w:sz w:val="28"/>
          <w:szCs w:val="28"/>
          <w:shd w:val="clear" w:color="auto" w:fill="FFFFFF"/>
        </w:rPr>
      </w:pPr>
      <w:r>
        <w:rPr>
          <w:rFonts w:hint="eastAsia" w:ascii="仿宋_GB2312" w:eastAsia="仿宋_GB2312"/>
          <w:sz w:val="28"/>
          <w:szCs w:val="28"/>
          <w:shd w:val="clear" w:color="auto" w:fill="FFFFFF"/>
        </w:rPr>
        <w:t>3.4.2  以诚实、信用、谨慎、勤勉的原则管理委托投资资产。</w:t>
      </w:r>
    </w:p>
    <w:p>
      <w:pPr>
        <w:tabs>
          <w:tab w:val="left" w:pos="540"/>
        </w:tabs>
        <w:spacing w:line="360" w:lineRule="auto"/>
        <w:ind w:firstLine="560" w:firstLineChars="200"/>
        <w:rPr>
          <w:rFonts w:hint="eastAsia" w:ascii="仿宋_GB2312" w:eastAsia="仿宋_GB2312"/>
          <w:sz w:val="28"/>
          <w:szCs w:val="28"/>
          <w:shd w:val="clear" w:color="auto" w:fill="FFFFFF"/>
        </w:rPr>
      </w:pPr>
      <w:r>
        <w:rPr>
          <w:rFonts w:hint="eastAsia" w:ascii="仿宋_GB2312" w:eastAsia="仿宋_GB2312"/>
          <w:sz w:val="28"/>
          <w:szCs w:val="28"/>
          <w:shd w:val="clear" w:color="auto" w:fill="FFFFFF"/>
        </w:rPr>
        <w:t>3.4.3  与甲方、托管人共同协商确定投资监督事项表。</w:t>
      </w:r>
    </w:p>
    <w:p>
      <w:pPr>
        <w:spacing w:line="360" w:lineRule="auto"/>
        <w:ind w:left="-2" w:leftChars="-1" w:firstLine="560" w:firstLineChars="200"/>
        <w:rPr>
          <w:rFonts w:hint="eastAsia" w:ascii="仿宋_GB2312" w:eastAsia="仿宋_GB2312"/>
          <w:sz w:val="28"/>
          <w:szCs w:val="28"/>
          <w:shd w:val="clear" w:color="auto" w:fill="FFFFFF"/>
        </w:rPr>
      </w:pPr>
      <w:r>
        <w:rPr>
          <w:rFonts w:hint="eastAsia" w:ascii="仿宋_GB2312" w:eastAsia="仿宋_GB2312"/>
          <w:sz w:val="28"/>
          <w:szCs w:val="28"/>
          <w:shd w:val="clear" w:color="auto" w:fill="FFFFFF"/>
        </w:rPr>
        <w:t xml:space="preserve">3.4.4  配备足够的具有专业资格的人员进行投资分析、决策，以专业化的方式管理委托投资资产。  </w:t>
      </w:r>
    </w:p>
    <w:p>
      <w:pPr>
        <w:spacing w:line="360" w:lineRule="auto"/>
        <w:ind w:left="-2" w:leftChars="-1" w:firstLine="560" w:firstLineChars="200"/>
        <w:rPr>
          <w:rFonts w:hint="eastAsia" w:ascii="仿宋_GB2312" w:eastAsia="仿宋_GB2312"/>
          <w:sz w:val="28"/>
          <w:szCs w:val="28"/>
          <w:shd w:val="clear" w:color="auto" w:fill="FFFFFF"/>
        </w:rPr>
      </w:pPr>
      <w:r>
        <w:rPr>
          <w:rFonts w:hint="eastAsia" w:ascii="仿宋_GB2312" w:eastAsia="仿宋_GB2312"/>
          <w:sz w:val="28"/>
          <w:szCs w:val="28"/>
          <w:shd w:val="clear" w:color="auto" w:fill="FFFFFF"/>
        </w:rPr>
        <w:t>3.4.5  建立、健全内部风险控制机制和监察稽核制度。</w:t>
      </w:r>
    </w:p>
    <w:p>
      <w:pPr>
        <w:spacing w:line="360" w:lineRule="auto"/>
        <w:ind w:firstLine="560" w:firstLineChars="200"/>
        <w:rPr>
          <w:rFonts w:hint="eastAsia" w:ascii="仿宋_GB2312" w:eastAsia="仿宋_GB2312"/>
          <w:sz w:val="28"/>
          <w:szCs w:val="28"/>
          <w:shd w:val="clear" w:color="auto" w:fill="FFFFFF"/>
        </w:rPr>
      </w:pPr>
      <w:r>
        <w:rPr>
          <w:rFonts w:hint="eastAsia" w:ascii="仿宋_GB2312" w:eastAsia="仿宋_GB2312"/>
          <w:sz w:val="28"/>
          <w:szCs w:val="28"/>
          <w:shd w:val="clear" w:color="auto" w:fill="FFFFFF"/>
        </w:rPr>
        <w:t>3.4.6  及时与托管人核对企业年金基金会计核算和估值结果。</w:t>
      </w:r>
    </w:p>
    <w:p>
      <w:pPr>
        <w:spacing w:line="360" w:lineRule="auto"/>
        <w:ind w:firstLine="560" w:firstLineChars="200"/>
        <w:rPr>
          <w:rFonts w:hint="eastAsia" w:ascii="仿宋_GB2312" w:eastAsia="仿宋_GB2312"/>
          <w:sz w:val="28"/>
          <w:szCs w:val="28"/>
          <w:shd w:val="clear" w:color="auto" w:fill="FFFFFF"/>
        </w:rPr>
      </w:pPr>
      <w:r>
        <w:rPr>
          <w:rFonts w:hint="eastAsia" w:ascii="仿宋_GB2312" w:eastAsia="仿宋_GB2312"/>
          <w:sz w:val="28"/>
          <w:szCs w:val="28"/>
          <w:shd w:val="clear" w:color="auto" w:fill="FFFFFF"/>
        </w:rPr>
        <w:t xml:space="preserve">3.4.7  接受甲方及托管人的监督。 </w:t>
      </w:r>
    </w:p>
    <w:p>
      <w:pPr>
        <w:spacing w:line="360" w:lineRule="auto"/>
        <w:ind w:firstLine="560" w:firstLineChars="200"/>
        <w:rPr>
          <w:rFonts w:hint="eastAsia" w:ascii="仿宋_GB2312" w:eastAsia="仿宋_GB2312"/>
          <w:sz w:val="28"/>
          <w:szCs w:val="28"/>
          <w:shd w:val="clear" w:color="auto" w:fill="FFFFFF"/>
        </w:rPr>
      </w:pPr>
      <w:r>
        <w:rPr>
          <w:rFonts w:hint="eastAsia" w:ascii="仿宋_GB2312" w:eastAsia="仿宋_GB2312"/>
          <w:sz w:val="28"/>
          <w:szCs w:val="28"/>
          <w:shd w:val="clear" w:color="auto" w:fill="FFFFFF"/>
        </w:rPr>
        <w:t xml:space="preserve">3.4.8  执行甲方制定的战略资产配置策略。  </w:t>
      </w:r>
    </w:p>
    <w:p>
      <w:pPr>
        <w:spacing w:line="360" w:lineRule="auto"/>
        <w:ind w:firstLine="560" w:firstLineChars="200"/>
        <w:rPr>
          <w:rFonts w:hint="eastAsia" w:ascii="仿宋_GB2312" w:eastAsia="仿宋_GB2312"/>
          <w:sz w:val="28"/>
          <w:szCs w:val="28"/>
          <w:shd w:val="clear" w:color="auto" w:fill="FFFFFF"/>
        </w:rPr>
      </w:pPr>
      <w:r>
        <w:rPr>
          <w:rFonts w:hint="eastAsia" w:ascii="仿宋_GB2312" w:eastAsia="仿宋_GB2312"/>
          <w:sz w:val="28"/>
          <w:szCs w:val="28"/>
          <w:shd w:val="clear" w:color="auto" w:fill="FFFFFF"/>
        </w:rPr>
        <w:t>3.4.9  建立企业年金基金投资管理风险准备金，并根据法律法规规定及本合同约定管理投资管理风险准备金。</w:t>
      </w:r>
    </w:p>
    <w:p>
      <w:pPr>
        <w:spacing w:line="360" w:lineRule="auto"/>
        <w:ind w:firstLine="560" w:firstLineChars="200"/>
        <w:rPr>
          <w:rFonts w:hint="eastAsia" w:ascii="仿宋_GB2312" w:eastAsia="仿宋_GB2312"/>
          <w:sz w:val="28"/>
          <w:szCs w:val="28"/>
          <w:shd w:val="clear" w:color="auto" w:fill="FFFFFF"/>
        </w:rPr>
      </w:pPr>
      <w:r>
        <w:rPr>
          <w:rFonts w:hint="eastAsia" w:ascii="仿宋_GB2312" w:eastAsia="仿宋_GB2312"/>
          <w:sz w:val="28"/>
          <w:szCs w:val="28"/>
          <w:shd w:val="clear" w:color="auto" w:fill="FFFFFF"/>
        </w:rPr>
        <w:t>3.4.10  定期向甲方提交经托管人</w:t>
      </w:r>
      <w:r>
        <w:rPr>
          <w:rFonts w:hint="eastAsia" w:ascii="仿宋_GB2312" w:hAnsi="仿宋_GB2312" w:eastAsia="仿宋_GB2312"/>
          <w:sz w:val="28"/>
          <w:szCs w:val="28"/>
          <w:shd w:val="clear" w:color="auto" w:fill="FFFFFF"/>
        </w:rPr>
        <w:t>确认财务管理数据的</w:t>
      </w:r>
      <w:r>
        <w:rPr>
          <w:rFonts w:hint="eastAsia" w:ascii="仿宋_GB2312" w:eastAsia="仿宋_GB2312"/>
          <w:sz w:val="28"/>
          <w:szCs w:val="28"/>
          <w:shd w:val="clear" w:color="auto" w:fill="FFFFFF"/>
        </w:rPr>
        <w:t>企业年金基金投资管理报告。</w:t>
      </w:r>
    </w:p>
    <w:p>
      <w:pPr>
        <w:spacing w:line="360" w:lineRule="auto"/>
        <w:ind w:firstLine="560" w:firstLineChars="200"/>
        <w:rPr>
          <w:rFonts w:hint="eastAsia" w:ascii="仿宋_GB2312" w:eastAsia="仿宋_GB2312"/>
          <w:sz w:val="28"/>
          <w:szCs w:val="28"/>
          <w:shd w:val="clear" w:color="auto" w:fill="FFFFFF"/>
        </w:rPr>
      </w:pPr>
      <w:r>
        <w:rPr>
          <w:rFonts w:hint="eastAsia" w:ascii="仿宋_GB2312" w:eastAsia="仿宋_GB2312"/>
          <w:sz w:val="28"/>
          <w:szCs w:val="28"/>
          <w:shd w:val="clear" w:color="auto" w:fill="FFFFFF"/>
        </w:rPr>
        <w:t>3.4.11  定期向有关监管部门提交开展企业年金基金投资管理业务情况的报告。</w:t>
      </w:r>
    </w:p>
    <w:p>
      <w:pPr>
        <w:spacing w:line="360" w:lineRule="auto"/>
        <w:ind w:firstLine="560" w:firstLineChars="200"/>
        <w:rPr>
          <w:rFonts w:hint="eastAsia" w:ascii="仿宋_GB2312" w:eastAsia="仿宋_GB2312"/>
          <w:sz w:val="28"/>
          <w:szCs w:val="28"/>
          <w:shd w:val="clear" w:color="auto" w:fill="FFFFFF"/>
        </w:rPr>
      </w:pPr>
      <w:r>
        <w:rPr>
          <w:rFonts w:hint="eastAsia" w:ascii="仿宋_GB2312" w:eastAsia="仿宋_GB2312"/>
          <w:sz w:val="28"/>
          <w:szCs w:val="28"/>
          <w:shd w:val="clear" w:color="auto" w:fill="FFFFFF"/>
        </w:rPr>
        <w:t>3.4.12  按照国家规定保存企业年金基金投资管理业务的凭证、账簿、年度财务会计报告和投资记录自合同终止之日起至少15年。</w:t>
      </w:r>
    </w:p>
    <w:p>
      <w:pPr>
        <w:spacing w:line="360" w:lineRule="auto"/>
        <w:ind w:firstLine="560" w:firstLineChars="200"/>
        <w:rPr>
          <w:rFonts w:hint="eastAsia" w:ascii="仿宋_GB2312" w:eastAsia="仿宋_GB2312"/>
          <w:sz w:val="28"/>
          <w:szCs w:val="28"/>
          <w:shd w:val="clear" w:color="auto" w:fill="FFFFFF"/>
        </w:rPr>
      </w:pPr>
      <w:r>
        <w:rPr>
          <w:rFonts w:hint="eastAsia" w:ascii="仿宋_GB2312" w:eastAsia="仿宋_GB2312"/>
          <w:sz w:val="28"/>
          <w:szCs w:val="28"/>
          <w:shd w:val="clear" w:color="auto" w:fill="FFFFFF"/>
        </w:rPr>
        <w:t xml:space="preserve">3.4.13  </w:t>
      </w:r>
      <w:r>
        <w:rPr>
          <w:rFonts w:hint="eastAsia" w:ascii="仿宋_GB2312" w:eastAsia="仿宋_GB2312"/>
          <w:color w:val="000000"/>
          <w:sz w:val="28"/>
          <w:szCs w:val="28"/>
          <w:shd w:val="clear" w:color="auto" w:fill="FFFFFF"/>
        </w:rPr>
        <w:t>按法律法规规定，</w:t>
      </w:r>
      <w:r>
        <w:rPr>
          <w:rFonts w:hint="eastAsia" w:ascii="仿宋_GB2312" w:eastAsia="仿宋_GB2312"/>
          <w:sz w:val="28"/>
          <w:szCs w:val="28"/>
          <w:shd w:val="clear" w:color="auto" w:fill="FFFFFF"/>
        </w:rPr>
        <w:t>配合甲方及甲方聘请的会计师事务所对企业年金计划进行审计</w:t>
      </w:r>
      <w:r>
        <w:rPr>
          <w:rFonts w:hint="eastAsia" w:ascii="仿宋_GB2312" w:eastAsia="仿宋_GB2312"/>
          <w:color w:val="000000"/>
          <w:sz w:val="28"/>
          <w:szCs w:val="28"/>
          <w:shd w:val="clear" w:color="auto" w:fill="FFFFFF"/>
        </w:rPr>
        <w:t>，参与企业年金计划清算。</w:t>
      </w:r>
    </w:p>
    <w:p>
      <w:pPr>
        <w:spacing w:line="360" w:lineRule="auto"/>
        <w:ind w:firstLine="560" w:firstLineChars="200"/>
        <w:rPr>
          <w:rFonts w:hint="eastAsia" w:ascii="仿宋_GB2312" w:eastAsia="仿宋_GB2312"/>
          <w:sz w:val="28"/>
          <w:szCs w:val="28"/>
          <w:shd w:val="clear" w:color="auto" w:fill="FFFFFF"/>
        </w:rPr>
      </w:pPr>
      <w:r>
        <w:rPr>
          <w:rFonts w:hint="eastAsia" w:ascii="仿宋_GB2312" w:eastAsia="仿宋_GB2312"/>
          <w:sz w:val="28"/>
          <w:szCs w:val="28"/>
          <w:shd w:val="clear" w:color="auto" w:fill="FFFFFF"/>
        </w:rPr>
        <w:t>3.4.14  履行法律法规规定及本合同约定的其他义务。</w:t>
      </w:r>
    </w:p>
    <w:p>
      <w:pPr>
        <w:pStyle w:val="2"/>
        <w:jc w:val="center"/>
        <w:rPr>
          <w:rFonts w:hint="eastAsia" w:ascii="黑体" w:hAnsi="黑体" w:eastAsia="黑体"/>
          <w:b w:val="0"/>
          <w:sz w:val="28"/>
          <w:szCs w:val="28"/>
          <w:shd w:val="clear" w:color="auto" w:fill="FFFFFF"/>
        </w:rPr>
      </w:pPr>
      <w:bookmarkStart w:id="8" w:name="_Toc319934283"/>
      <w:r>
        <w:rPr>
          <w:rFonts w:hint="eastAsia" w:ascii="黑体" w:hAnsi="黑体" w:eastAsia="黑体"/>
          <w:b w:val="0"/>
          <w:sz w:val="28"/>
          <w:szCs w:val="28"/>
          <w:shd w:val="clear" w:color="auto" w:fill="FFFFFF"/>
        </w:rPr>
        <w:t xml:space="preserve">第四章  </w:t>
      </w:r>
      <w:r>
        <w:rPr>
          <w:rStyle w:val="17"/>
          <w:rFonts w:hint="eastAsia" w:ascii="黑体" w:eastAsia="黑体"/>
          <w:sz w:val="28"/>
          <w:szCs w:val="28"/>
          <w:shd w:val="clear" w:color="auto" w:fill="FFFFFF"/>
        </w:rPr>
        <w:t>委托投资资产</w:t>
      </w:r>
      <w:bookmarkEnd w:id="8"/>
    </w:p>
    <w:p>
      <w:pPr>
        <w:spacing w:before="30" w:after="30" w:line="360" w:lineRule="auto"/>
        <w:ind w:firstLine="560" w:firstLineChars="200"/>
        <w:rPr>
          <w:rFonts w:hint="eastAsia" w:ascii="仿宋_GB2312" w:eastAsia="仿宋_GB2312"/>
          <w:sz w:val="28"/>
          <w:szCs w:val="28"/>
          <w:shd w:val="clear" w:color="auto" w:fill="FFFFFF"/>
        </w:rPr>
      </w:pPr>
      <w:r>
        <w:rPr>
          <w:rFonts w:hint="eastAsia" w:ascii="仿宋_GB2312" w:eastAsia="仿宋_GB2312"/>
          <w:sz w:val="28"/>
          <w:szCs w:val="28"/>
          <w:shd w:val="clear" w:color="auto" w:fill="FFFFFF"/>
        </w:rPr>
        <w:t>4.1  初始委托投资资产的划拨。</w:t>
      </w:r>
    </w:p>
    <w:p>
      <w:pPr>
        <w:spacing w:line="360" w:lineRule="auto"/>
        <w:ind w:left="-2" w:leftChars="-1" w:firstLine="560" w:firstLineChars="200"/>
        <w:rPr>
          <w:rFonts w:hint="eastAsia" w:ascii="仿宋_GB2312" w:eastAsia="仿宋_GB2312"/>
          <w:sz w:val="28"/>
          <w:szCs w:val="28"/>
          <w:shd w:val="clear" w:color="auto" w:fill="FFFFFF"/>
        </w:rPr>
      </w:pPr>
      <w:r>
        <w:rPr>
          <w:rFonts w:hint="eastAsia" w:ascii="仿宋_GB2312" w:eastAsia="仿宋_GB2312"/>
          <w:sz w:val="28"/>
          <w:szCs w:val="28"/>
          <w:shd w:val="clear" w:color="auto" w:fill="FFFFFF"/>
        </w:rPr>
        <w:t>甲方应当于各有关账户开立完毕后及时通知托管人将初始委托投资资产足额划拨至投资资产托管账户，托管人应当于收到委托投资资产当日以书面形式分别通知甲方和乙方。</w:t>
      </w:r>
    </w:p>
    <w:p>
      <w:pPr>
        <w:spacing w:line="360" w:lineRule="auto"/>
        <w:ind w:left="-2" w:leftChars="-1" w:firstLine="560" w:firstLineChars="200"/>
        <w:rPr>
          <w:rFonts w:hint="eastAsia" w:ascii="仿宋_GB2312" w:eastAsia="仿宋_GB2312"/>
          <w:sz w:val="28"/>
          <w:szCs w:val="28"/>
          <w:shd w:val="clear" w:color="auto" w:fill="FFFFFF"/>
        </w:rPr>
      </w:pPr>
      <w:r>
        <w:rPr>
          <w:rFonts w:hint="eastAsia" w:ascii="仿宋_GB2312" w:eastAsia="仿宋_GB2312"/>
          <w:sz w:val="28"/>
          <w:szCs w:val="28"/>
          <w:shd w:val="clear" w:color="auto" w:fill="FFFFFF"/>
        </w:rPr>
        <w:t>4.2  委托投资资产的追加。</w:t>
      </w:r>
    </w:p>
    <w:p>
      <w:pPr>
        <w:spacing w:line="360" w:lineRule="auto"/>
        <w:ind w:left="-2" w:leftChars="-1" w:firstLine="560" w:firstLineChars="200"/>
        <w:rPr>
          <w:rFonts w:hint="eastAsia" w:ascii="仿宋_GB2312" w:eastAsia="仿宋_GB2312"/>
          <w:sz w:val="28"/>
          <w:szCs w:val="28"/>
          <w:shd w:val="clear" w:color="auto" w:fill="FFFFFF"/>
        </w:rPr>
      </w:pPr>
      <w:r>
        <w:rPr>
          <w:rFonts w:hint="eastAsia" w:ascii="仿宋_GB2312" w:eastAsia="仿宋_GB2312"/>
          <w:sz w:val="28"/>
          <w:szCs w:val="28"/>
          <w:shd w:val="clear" w:color="auto" w:fill="FFFFFF"/>
        </w:rPr>
        <w:t>合同期内，委托人将追加的委托投资资产划拨至托管人的受托财产托管账户后，甲方应当及时向托管人发送指令，将委托投资资产划拨至投资资产托管账户并通知乙方。托管人应当于收到委托投资资产当日以书面形式分别通知甲方和乙方。</w:t>
      </w:r>
    </w:p>
    <w:p>
      <w:pPr>
        <w:spacing w:line="360" w:lineRule="auto"/>
        <w:ind w:left="-2" w:leftChars="-1" w:firstLine="560" w:firstLineChars="200"/>
        <w:rPr>
          <w:rFonts w:hint="eastAsia" w:ascii="仿宋_GB2312" w:eastAsia="仿宋_GB2312"/>
          <w:sz w:val="28"/>
          <w:szCs w:val="28"/>
          <w:shd w:val="clear" w:color="auto" w:fill="FFFFFF"/>
        </w:rPr>
      </w:pPr>
      <w:r>
        <w:rPr>
          <w:rFonts w:hint="eastAsia" w:ascii="仿宋_GB2312" w:eastAsia="仿宋_GB2312"/>
          <w:sz w:val="28"/>
          <w:szCs w:val="28"/>
          <w:shd w:val="clear" w:color="auto" w:fill="FFFFFF"/>
        </w:rPr>
        <w:t>4.3  委托投资资产的提取。</w:t>
      </w:r>
    </w:p>
    <w:p>
      <w:pPr>
        <w:spacing w:line="360" w:lineRule="auto"/>
        <w:ind w:left="-2" w:leftChars="-1" w:firstLine="560" w:firstLineChars="200"/>
        <w:rPr>
          <w:rFonts w:hint="eastAsia" w:ascii="仿宋_GB2312" w:eastAsia="仿宋_GB2312"/>
          <w:sz w:val="28"/>
          <w:szCs w:val="28"/>
          <w:shd w:val="clear" w:color="auto" w:fill="FFFFFF"/>
        </w:rPr>
      </w:pPr>
      <w:r>
        <w:rPr>
          <w:rFonts w:hint="eastAsia" w:ascii="仿宋_GB2312" w:eastAsia="仿宋_GB2312"/>
          <w:sz w:val="28"/>
          <w:szCs w:val="28"/>
          <w:shd w:val="clear" w:color="auto" w:fill="FFFFFF"/>
        </w:rPr>
        <w:t>在合同存续期内，如遇甲方需要减少委托投资资产，甲方需提前通知乙方。托管人应当根据甲方指令将相应资金从委托投资资产托管账户划拨至受托财产托管账户，并于划拨资金当日以书面形式分别通知甲方及乙方。甲方提前通知的时间约定如下：</w:t>
      </w:r>
    </w:p>
    <w:p>
      <w:pPr>
        <w:spacing w:line="360" w:lineRule="auto"/>
        <w:ind w:left="-2" w:leftChars="-1" w:firstLine="560" w:firstLineChars="200"/>
        <w:rPr>
          <w:rFonts w:hint="eastAsia" w:ascii="仿宋_GB2312" w:eastAsia="仿宋_GB2312"/>
          <w:sz w:val="28"/>
          <w:szCs w:val="28"/>
          <w:shd w:val="clear" w:color="auto" w:fill="FFFFFF"/>
        </w:rPr>
      </w:pPr>
      <w:r>
        <w:rPr>
          <w:rFonts w:hint="eastAsia" w:ascii="仿宋_GB2312" w:eastAsia="仿宋_GB2312"/>
          <w:sz w:val="28"/>
          <w:szCs w:val="28"/>
          <w:shd w:val="clear" w:color="auto" w:fill="FFFFFF"/>
        </w:rPr>
        <w:t>4.3.1  提取金额占通知日之上一交易日的委托投资资产净值5%以下的（不含5%），应至少提前3个交易日通知；</w:t>
      </w:r>
    </w:p>
    <w:p>
      <w:pPr>
        <w:tabs>
          <w:tab w:val="left" w:pos="1800"/>
        </w:tabs>
        <w:spacing w:line="360" w:lineRule="auto"/>
        <w:ind w:left="-2" w:leftChars="-1" w:firstLine="560" w:firstLineChars="200"/>
        <w:rPr>
          <w:rFonts w:hint="eastAsia" w:ascii="仿宋_GB2312" w:eastAsia="仿宋_GB2312"/>
          <w:sz w:val="28"/>
          <w:szCs w:val="28"/>
          <w:shd w:val="clear" w:color="auto" w:fill="FFFFFF"/>
        </w:rPr>
      </w:pPr>
      <w:r>
        <w:rPr>
          <w:rFonts w:hint="eastAsia" w:ascii="仿宋_GB2312" w:eastAsia="仿宋_GB2312"/>
          <w:sz w:val="28"/>
          <w:szCs w:val="28"/>
          <w:shd w:val="clear" w:color="auto" w:fill="FFFFFF"/>
        </w:rPr>
        <w:t>4.3.2  提取金额占通知日之上一交易日的委托投资资产净值5%以上的（含5%）， 应至少提前5个交易日通知；</w:t>
      </w:r>
    </w:p>
    <w:p>
      <w:pPr>
        <w:tabs>
          <w:tab w:val="left" w:pos="1800"/>
        </w:tabs>
        <w:spacing w:line="360" w:lineRule="auto"/>
        <w:ind w:left="-2" w:leftChars="-1" w:firstLine="560" w:firstLineChars="200"/>
        <w:rPr>
          <w:rFonts w:hint="eastAsia" w:ascii="仿宋_GB2312" w:eastAsia="仿宋_GB2312"/>
          <w:sz w:val="28"/>
          <w:szCs w:val="28"/>
          <w:shd w:val="clear" w:color="auto" w:fill="FFFFFF"/>
        </w:rPr>
      </w:pPr>
      <w:r>
        <w:rPr>
          <w:rFonts w:hint="eastAsia" w:ascii="仿宋_GB2312" w:eastAsia="仿宋_GB2312"/>
          <w:sz w:val="28"/>
          <w:szCs w:val="28"/>
          <w:shd w:val="clear" w:color="auto" w:fill="FFFFFF"/>
        </w:rPr>
        <w:t>4.3.3  因法律法规、监管部门或证券交易相关机构做出限制性规定或约定导致全部或部分企业年金资产无法及时变现，进而导致乙方无法按照前述流程处理委托投资资产提取指令的，甲乙双方应当另行协商解决；</w:t>
      </w:r>
    </w:p>
    <w:p>
      <w:pPr>
        <w:tabs>
          <w:tab w:val="left" w:pos="1800"/>
        </w:tabs>
        <w:spacing w:line="360" w:lineRule="auto"/>
        <w:ind w:left="-2" w:leftChars="-1" w:firstLine="560" w:firstLineChars="200"/>
        <w:rPr>
          <w:rFonts w:hint="eastAsia" w:ascii="仿宋_GB2312" w:eastAsia="仿宋_GB2312"/>
          <w:sz w:val="28"/>
          <w:szCs w:val="28"/>
          <w:shd w:val="clear" w:color="auto" w:fill="FFFFFF"/>
        </w:rPr>
      </w:pPr>
      <w:r>
        <w:rPr>
          <w:rFonts w:hint="eastAsia" w:ascii="仿宋_GB2312" w:eastAsia="仿宋_GB2312"/>
          <w:sz w:val="28"/>
          <w:szCs w:val="28"/>
          <w:shd w:val="clear" w:color="auto" w:fill="FFFFFF"/>
        </w:rPr>
        <w:t>4.3.4  由于甲方通知不及时造成的资产变现损失, 或因托管人未严格按照甲方指令及时划拨资金而可能导致的损失，乙方不承担责任。</w:t>
      </w:r>
    </w:p>
    <w:p>
      <w:pPr>
        <w:pStyle w:val="2"/>
        <w:jc w:val="center"/>
        <w:rPr>
          <w:rFonts w:hint="eastAsia" w:ascii="黑体" w:hAnsi="黑体" w:eastAsia="黑体"/>
          <w:b w:val="0"/>
          <w:sz w:val="28"/>
          <w:szCs w:val="28"/>
          <w:shd w:val="clear" w:color="auto" w:fill="FFFFFF"/>
        </w:rPr>
      </w:pPr>
      <w:bookmarkStart w:id="9" w:name="_Toc319934284"/>
      <w:r>
        <w:rPr>
          <w:rFonts w:hint="eastAsia" w:ascii="黑体" w:hAnsi="黑体" w:eastAsia="黑体"/>
          <w:b w:val="0"/>
          <w:sz w:val="28"/>
          <w:szCs w:val="28"/>
          <w:shd w:val="clear" w:color="auto" w:fill="FFFFFF"/>
        </w:rPr>
        <w:t xml:space="preserve">第五章  </w:t>
      </w:r>
      <w:r>
        <w:rPr>
          <w:rStyle w:val="17"/>
          <w:rFonts w:hint="eastAsia" w:ascii="黑体" w:eastAsia="黑体"/>
          <w:sz w:val="28"/>
          <w:szCs w:val="28"/>
          <w:shd w:val="clear" w:color="auto" w:fill="FFFFFF"/>
        </w:rPr>
        <w:t>投资政策与变更</w:t>
      </w:r>
      <w:bookmarkEnd w:id="9"/>
    </w:p>
    <w:p>
      <w:pPr>
        <w:spacing w:line="360" w:lineRule="auto"/>
        <w:ind w:firstLine="560" w:firstLineChars="200"/>
        <w:rPr>
          <w:rFonts w:hint="eastAsia" w:ascii="仿宋_GB2312" w:eastAsia="仿宋_GB2312"/>
          <w:sz w:val="28"/>
          <w:szCs w:val="28"/>
          <w:shd w:val="clear" w:color="auto" w:fill="FFFFFF"/>
        </w:rPr>
      </w:pPr>
      <w:r>
        <w:rPr>
          <w:rFonts w:hint="eastAsia" w:ascii="仿宋_GB2312" w:eastAsia="仿宋_GB2312"/>
          <w:sz w:val="28"/>
          <w:szCs w:val="28"/>
          <w:shd w:val="clear" w:color="auto" w:fill="FFFFFF"/>
        </w:rPr>
        <w:t>5.1  投资目标。</w:t>
      </w:r>
    </w:p>
    <w:p>
      <w:pPr>
        <w:spacing w:line="360" w:lineRule="auto"/>
        <w:ind w:left="-2" w:leftChars="-1" w:firstLine="560" w:firstLineChars="200"/>
        <w:rPr>
          <w:rFonts w:hint="eastAsia" w:ascii="仿宋_GB2312" w:eastAsia="仿宋_GB2312"/>
          <w:sz w:val="28"/>
          <w:szCs w:val="28"/>
          <w:shd w:val="clear" w:color="auto" w:fill="FFFFFF"/>
        </w:rPr>
      </w:pPr>
      <w:r>
        <w:rPr>
          <w:rFonts w:hint="eastAsia" w:ascii="仿宋_GB2312" w:eastAsia="仿宋_GB2312"/>
          <w:sz w:val="28"/>
          <w:szCs w:val="28"/>
          <w:shd w:val="clear" w:color="auto" w:fill="FFFFFF"/>
        </w:rPr>
        <w:t>在充分考虑资产安全性和流动性的基础上，通过专业化管理，争取实现企业年金基金的保值增值。</w:t>
      </w:r>
    </w:p>
    <w:p>
      <w:pPr>
        <w:spacing w:line="360" w:lineRule="auto"/>
        <w:ind w:left="-2" w:leftChars="-1" w:firstLine="560" w:firstLineChars="200"/>
        <w:rPr>
          <w:rFonts w:hint="eastAsia" w:ascii="仿宋_GB2312" w:eastAsia="仿宋_GB2312"/>
          <w:sz w:val="28"/>
          <w:szCs w:val="28"/>
          <w:shd w:val="clear" w:color="auto" w:fill="FFFFFF"/>
        </w:rPr>
      </w:pPr>
      <w:r>
        <w:rPr>
          <w:rFonts w:hint="eastAsia" w:ascii="仿宋_GB2312" w:eastAsia="仿宋_GB2312"/>
          <w:sz w:val="28"/>
          <w:szCs w:val="28"/>
          <w:shd w:val="clear" w:color="auto" w:fill="FFFFFF"/>
        </w:rPr>
        <w:t>5.2  投资原则。</w:t>
      </w:r>
    </w:p>
    <w:p>
      <w:pPr>
        <w:spacing w:line="360" w:lineRule="auto"/>
        <w:ind w:left="-2" w:leftChars="-1" w:firstLine="560" w:firstLineChars="200"/>
        <w:rPr>
          <w:rFonts w:hint="eastAsia" w:ascii="仿宋_GB2312" w:eastAsia="仿宋_GB2312"/>
          <w:sz w:val="28"/>
          <w:szCs w:val="28"/>
          <w:shd w:val="clear" w:color="auto" w:fill="FFFFFF"/>
        </w:rPr>
      </w:pPr>
      <w:r>
        <w:rPr>
          <w:rFonts w:hint="eastAsia" w:ascii="仿宋_GB2312" w:eastAsia="仿宋_GB2312"/>
          <w:sz w:val="28"/>
          <w:szCs w:val="28"/>
          <w:shd w:val="clear" w:color="auto" w:fill="FFFFFF"/>
        </w:rPr>
        <w:t>遵循谨慎、分散风险的原则，争取实现企业年金基金长期稳定增值。</w:t>
      </w:r>
    </w:p>
    <w:p>
      <w:pPr>
        <w:spacing w:line="360" w:lineRule="auto"/>
        <w:ind w:left="-2" w:leftChars="-1" w:firstLine="560" w:firstLineChars="200"/>
        <w:rPr>
          <w:rFonts w:hint="eastAsia" w:ascii="仿宋_GB2312" w:eastAsia="仿宋_GB2312"/>
          <w:sz w:val="28"/>
          <w:szCs w:val="28"/>
          <w:shd w:val="clear" w:color="auto" w:fill="FFFFFF"/>
        </w:rPr>
      </w:pPr>
      <w:r>
        <w:rPr>
          <w:rFonts w:hint="eastAsia" w:ascii="仿宋_GB2312" w:eastAsia="仿宋_GB2312"/>
          <w:sz w:val="28"/>
          <w:szCs w:val="28"/>
          <w:shd w:val="clear" w:color="auto" w:fill="FFFFFF"/>
        </w:rPr>
        <w:t>5.3  投资政策。</w:t>
      </w:r>
    </w:p>
    <w:p>
      <w:pPr>
        <w:spacing w:line="360" w:lineRule="auto"/>
        <w:ind w:left="-2" w:leftChars="-1" w:firstLine="560" w:firstLineChars="200"/>
        <w:rPr>
          <w:rFonts w:hint="eastAsia" w:ascii="仿宋_GB2312" w:eastAsia="仿宋_GB2312"/>
          <w:sz w:val="28"/>
          <w:szCs w:val="28"/>
          <w:shd w:val="clear" w:color="auto" w:fill="FFFFFF"/>
        </w:rPr>
      </w:pPr>
      <w:r>
        <w:rPr>
          <w:rFonts w:hint="eastAsia" w:ascii="仿宋_GB2312" w:eastAsia="仿宋_GB2312"/>
          <w:sz w:val="28"/>
          <w:szCs w:val="28"/>
          <w:shd w:val="clear" w:color="auto" w:fill="FFFFFF"/>
        </w:rPr>
        <w:t>乙方根据本合同约定的投资政策（见附件一）进行委托投资资产的投资管理。</w:t>
      </w:r>
    </w:p>
    <w:p>
      <w:pPr>
        <w:spacing w:line="360" w:lineRule="auto"/>
        <w:ind w:left="-2" w:leftChars="-1" w:firstLine="560" w:firstLineChars="200"/>
        <w:rPr>
          <w:rFonts w:hint="eastAsia" w:ascii="仿宋_GB2312" w:eastAsia="仿宋_GB2312"/>
          <w:sz w:val="28"/>
          <w:szCs w:val="28"/>
          <w:shd w:val="clear" w:color="auto" w:fill="FFFFFF"/>
        </w:rPr>
      </w:pPr>
      <w:r>
        <w:rPr>
          <w:rFonts w:hint="eastAsia" w:ascii="仿宋_GB2312" w:eastAsia="仿宋_GB2312"/>
          <w:sz w:val="28"/>
          <w:szCs w:val="28"/>
          <w:shd w:val="clear" w:color="auto" w:fill="FFFFFF"/>
        </w:rPr>
        <w:t>5.4  投资政策的变更。</w:t>
      </w:r>
    </w:p>
    <w:p>
      <w:pPr>
        <w:spacing w:line="360" w:lineRule="auto"/>
        <w:ind w:left="-2" w:leftChars="-1" w:firstLine="560" w:firstLineChars="200"/>
        <w:rPr>
          <w:rFonts w:hint="eastAsia" w:ascii="仿宋_GB2312" w:eastAsia="仿宋_GB2312"/>
          <w:sz w:val="28"/>
          <w:szCs w:val="28"/>
          <w:shd w:val="clear" w:color="auto" w:fill="FFFFFF"/>
        </w:rPr>
      </w:pPr>
      <w:r>
        <w:rPr>
          <w:rFonts w:hint="eastAsia" w:ascii="仿宋_GB2312" w:eastAsia="仿宋_GB2312"/>
          <w:sz w:val="28"/>
          <w:szCs w:val="28"/>
          <w:shd w:val="clear" w:color="auto" w:fill="FFFFFF"/>
        </w:rPr>
        <w:t>5.4.1  本合同约定的投资政策(见附件一)的变更需经双方书面同意。变更后的投资政策自送达乙方之日起生效。乙方应当在甲方规定的合理时间范围内调整投资组合。</w:t>
      </w:r>
    </w:p>
    <w:p>
      <w:pPr>
        <w:spacing w:line="360" w:lineRule="auto"/>
        <w:ind w:left="-2" w:leftChars="-1" w:firstLine="560" w:firstLineChars="200"/>
        <w:rPr>
          <w:rFonts w:hint="eastAsia" w:ascii="仿宋_GB2312" w:eastAsia="仿宋_GB2312"/>
          <w:sz w:val="28"/>
          <w:szCs w:val="28"/>
          <w:shd w:val="clear" w:color="auto" w:fill="FFFFFF"/>
        </w:rPr>
      </w:pPr>
      <w:r>
        <w:rPr>
          <w:rFonts w:hint="eastAsia" w:ascii="仿宋_GB2312" w:eastAsia="仿宋_GB2312"/>
          <w:sz w:val="28"/>
          <w:szCs w:val="28"/>
          <w:shd w:val="clear" w:color="auto" w:fill="FFFFFF"/>
        </w:rPr>
        <w:t>5.</w:t>
      </w:r>
      <w:del w:id="4" w:author="Windows User" w:date="2017-03-19T12:31:00Z">
        <w:r>
          <w:rPr>
            <w:rFonts w:hint="eastAsia" w:ascii="仿宋_GB2312" w:eastAsia="仿宋_GB2312"/>
            <w:sz w:val="28"/>
            <w:szCs w:val="28"/>
            <w:shd w:val="clear" w:color="auto" w:fill="FFFFFF"/>
          </w:rPr>
          <w:delText>5</w:delText>
        </w:r>
      </w:del>
      <w:ins w:id="5" w:author="Windows User" w:date="2017-03-19T12:31:00Z">
        <w:r>
          <w:rPr>
            <w:rFonts w:hint="eastAsia" w:ascii="仿宋_GB2312" w:eastAsia="仿宋_GB2312"/>
            <w:sz w:val="28"/>
            <w:szCs w:val="28"/>
            <w:shd w:val="clear" w:color="auto" w:fill="FFFFFF"/>
          </w:rPr>
          <w:t>4</w:t>
        </w:r>
      </w:ins>
      <w:r>
        <w:rPr>
          <w:rFonts w:hint="eastAsia" w:ascii="仿宋_GB2312" w:eastAsia="仿宋_GB2312"/>
          <w:sz w:val="28"/>
          <w:szCs w:val="28"/>
          <w:shd w:val="clear" w:color="auto" w:fill="FFFFFF"/>
        </w:rPr>
        <w:t>.2  如企业年金基金投资运作的相关法律法规进行了修订，甲方应当及时将调整后的投资政策通知乙方。</w:t>
      </w:r>
    </w:p>
    <w:p>
      <w:pPr>
        <w:pStyle w:val="2"/>
        <w:spacing w:line="360" w:lineRule="auto"/>
        <w:ind w:left="425" w:hanging="136"/>
        <w:jc w:val="center"/>
        <w:rPr>
          <w:rStyle w:val="17"/>
          <w:rFonts w:hint="eastAsia" w:ascii="黑体" w:eastAsia="黑体"/>
          <w:bCs/>
          <w:sz w:val="28"/>
          <w:szCs w:val="28"/>
          <w:shd w:val="clear" w:color="auto" w:fill="FFFFFF"/>
        </w:rPr>
      </w:pPr>
      <w:bookmarkStart w:id="10" w:name="_Toc264103554"/>
      <w:bookmarkStart w:id="11" w:name="_Toc279925332"/>
      <w:bookmarkStart w:id="12" w:name="_Toc319934285"/>
      <w:r>
        <w:rPr>
          <w:rStyle w:val="17"/>
          <w:rFonts w:hint="eastAsia" w:ascii="黑体" w:eastAsia="黑体"/>
          <w:bCs/>
          <w:sz w:val="28"/>
          <w:szCs w:val="28"/>
          <w:shd w:val="clear" w:color="auto" w:fill="FFFFFF"/>
        </w:rPr>
        <w:t>第六章 投资经理的指定与变更</w:t>
      </w:r>
      <w:bookmarkEnd w:id="10"/>
      <w:bookmarkEnd w:id="11"/>
      <w:bookmarkEnd w:id="12"/>
    </w:p>
    <w:p>
      <w:pPr>
        <w:pStyle w:val="26"/>
        <w:spacing w:line="360" w:lineRule="auto"/>
        <w:ind w:firstLine="560"/>
        <w:rPr>
          <w:rFonts w:hint="eastAsia" w:ascii="仿宋_GB2312" w:hAnsi="Times New Roman" w:eastAsia="仿宋_GB2312"/>
          <w:sz w:val="28"/>
          <w:szCs w:val="28"/>
          <w:shd w:val="clear" w:color="auto" w:fill="FFFFFF"/>
        </w:rPr>
      </w:pPr>
      <w:r>
        <w:rPr>
          <w:rFonts w:hint="eastAsia" w:ascii="仿宋_GB2312" w:hAnsi="Times New Roman" w:eastAsia="仿宋_GB2312"/>
          <w:sz w:val="28"/>
          <w:szCs w:val="28"/>
          <w:shd w:val="clear" w:color="auto" w:fill="FFFFFF"/>
        </w:rPr>
        <w:t>6.1  投资经理的指定。</w:t>
      </w:r>
      <w:r>
        <w:rPr>
          <w:rFonts w:hint="eastAsia" w:ascii="仿宋_GB2312" w:hAnsi="Times New Roman" w:eastAsia="仿宋_GB2312"/>
          <w:sz w:val="28"/>
          <w:szCs w:val="28"/>
          <w:shd w:val="clear" w:color="auto" w:fill="FFFFFF"/>
        </w:rPr>
        <w:br w:type="textWrapping"/>
      </w:r>
      <w:r>
        <w:rPr>
          <w:rFonts w:hint="eastAsia" w:ascii="仿宋_GB2312" w:hAnsi="Times New Roman" w:eastAsia="仿宋_GB2312"/>
          <w:sz w:val="28"/>
          <w:szCs w:val="28"/>
          <w:shd w:val="clear" w:color="auto" w:fill="FFFFFF"/>
        </w:rPr>
        <w:t xml:space="preserve">    乙方指定符合资格条件的人员为委托投资资产的投资经理(投资经理的资料见附件二)。</w:t>
      </w:r>
    </w:p>
    <w:p>
      <w:pPr>
        <w:pStyle w:val="26"/>
        <w:spacing w:line="360" w:lineRule="auto"/>
        <w:ind w:firstLine="560"/>
        <w:rPr>
          <w:rFonts w:hint="eastAsia" w:ascii="仿宋_GB2312" w:hAnsi="Times New Roman" w:eastAsia="仿宋_GB2312"/>
          <w:sz w:val="28"/>
          <w:szCs w:val="28"/>
          <w:shd w:val="clear" w:color="auto" w:fill="FFFFFF"/>
        </w:rPr>
      </w:pPr>
      <w:r>
        <w:rPr>
          <w:rFonts w:hint="eastAsia" w:ascii="仿宋_GB2312" w:hAnsi="Times New Roman" w:eastAsia="仿宋_GB2312"/>
          <w:sz w:val="28"/>
          <w:szCs w:val="28"/>
          <w:shd w:val="clear" w:color="auto" w:fill="FFFFFF"/>
        </w:rPr>
        <w:t>6.2  投资经理的变更。</w:t>
      </w:r>
    </w:p>
    <w:p>
      <w:pPr>
        <w:spacing w:line="360" w:lineRule="auto"/>
        <w:ind w:left="-2" w:leftChars="-1" w:firstLine="560" w:firstLineChars="200"/>
        <w:rPr>
          <w:rFonts w:hint="eastAsia" w:ascii="仿宋_GB2312" w:eastAsia="仿宋_GB2312"/>
          <w:sz w:val="28"/>
          <w:szCs w:val="28"/>
          <w:shd w:val="clear" w:color="auto" w:fill="FFFFFF"/>
        </w:rPr>
      </w:pPr>
      <w:r>
        <w:rPr>
          <w:rFonts w:hint="eastAsia" w:ascii="仿宋_GB2312" w:eastAsia="仿宋_GB2312"/>
          <w:sz w:val="28"/>
          <w:szCs w:val="28"/>
          <w:shd w:val="clear" w:color="auto" w:fill="FFFFFF"/>
        </w:rPr>
        <w:t>投资经理离职或因故不能履行其职责时，乙方应当于该投资经理离职或因故不能履行其职责之日起5个工作日内通知甲方，且于乙方指定新的投资经理前，暂时由乙方安排的代理人行使投资经理的职责，但暂管时间不得超过10个工作日。乙方在指定新的投资经理或代理人后应当在5个工作日内通知甲方。</w:t>
      </w:r>
    </w:p>
    <w:p>
      <w:pPr>
        <w:pStyle w:val="2"/>
        <w:jc w:val="center"/>
        <w:rPr>
          <w:rFonts w:hint="eastAsia" w:ascii="黑体" w:hAnsi="黑体" w:eastAsia="黑体"/>
          <w:b w:val="0"/>
          <w:sz w:val="28"/>
          <w:szCs w:val="28"/>
          <w:shd w:val="clear" w:color="auto" w:fill="FFFFFF"/>
        </w:rPr>
      </w:pPr>
      <w:bookmarkStart w:id="13" w:name="_Toc319934286"/>
      <w:r>
        <w:rPr>
          <w:rFonts w:hint="eastAsia" w:ascii="黑体" w:hAnsi="黑体" w:eastAsia="黑体"/>
          <w:b w:val="0"/>
          <w:sz w:val="28"/>
          <w:szCs w:val="28"/>
          <w:shd w:val="clear" w:color="auto" w:fill="FFFFFF"/>
        </w:rPr>
        <w:t xml:space="preserve">第七章  </w:t>
      </w:r>
      <w:r>
        <w:rPr>
          <w:rStyle w:val="17"/>
          <w:rFonts w:hint="eastAsia" w:ascii="黑体" w:eastAsia="黑体"/>
          <w:sz w:val="28"/>
          <w:szCs w:val="28"/>
          <w:shd w:val="clear" w:color="auto" w:fill="FFFFFF"/>
        </w:rPr>
        <w:t>证券经纪商的指定与变更</w:t>
      </w:r>
      <w:bookmarkEnd w:id="13"/>
    </w:p>
    <w:p>
      <w:pPr>
        <w:spacing w:line="360" w:lineRule="auto"/>
        <w:ind w:firstLine="560" w:firstLineChars="200"/>
        <w:rPr>
          <w:rFonts w:hint="eastAsia" w:ascii="仿宋_GB2312" w:eastAsia="仿宋_GB2312"/>
          <w:sz w:val="28"/>
          <w:szCs w:val="28"/>
          <w:shd w:val="clear" w:color="auto" w:fill="FFFFFF"/>
        </w:rPr>
      </w:pPr>
      <w:r>
        <w:rPr>
          <w:rFonts w:hint="eastAsia" w:ascii="仿宋_GB2312" w:eastAsia="仿宋_GB2312"/>
          <w:sz w:val="28"/>
          <w:szCs w:val="28"/>
          <w:shd w:val="clear" w:color="auto" w:fill="FFFFFF"/>
        </w:rPr>
        <w:t>7.1  证券经纪商的指定。</w:t>
      </w:r>
    </w:p>
    <w:p>
      <w:pPr>
        <w:spacing w:line="360" w:lineRule="auto"/>
        <w:ind w:firstLine="560" w:firstLineChars="200"/>
        <w:rPr>
          <w:rFonts w:hint="eastAsia" w:ascii="仿宋_GB2312" w:eastAsia="仿宋_GB2312"/>
          <w:sz w:val="28"/>
          <w:szCs w:val="28"/>
          <w:shd w:val="clear" w:color="auto" w:fill="FFFFFF"/>
        </w:rPr>
      </w:pPr>
      <w:r>
        <w:rPr>
          <w:rFonts w:hint="eastAsia" w:ascii="仿宋_GB2312" w:eastAsia="仿宋_GB2312"/>
          <w:sz w:val="28"/>
          <w:szCs w:val="28"/>
          <w:shd w:val="clear" w:color="auto" w:fill="FFFFFF"/>
        </w:rPr>
        <w:t>7.1.1  证券经纪商由乙方指定，乙方应当选择有足够的交易和清算能力的证券经纪商，并及时通知甲方及托管人。</w:t>
      </w:r>
    </w:p>
    <w:p>
      <w:pPr>
        <w:spacing w:line="360" w:lineRule="auto"/>
        <w:ind w:firstLine="560" w:firstLineChars="200"/>
        <w:rPr>
          <w:rFonts w:hint="eastAsia" w:ascii="仿宋_GB2312" w:eastAsia="仿宋_GB2312"/>
          <w:sz w:val="28"/>
          <w:szCs w:val="28"/>
          <w:shd w:val="clear" w:color="auto" w:fill="FFFFFF"/>
        </w:rPr>
      </w:pPr>
      <w:r>
        <w:rPr>
          <w:rFonts w:hint="eastAsia" w:ascii="仿宋_GB2312" w:eastAsia="仿宋_GB2312"/>
          <w:sz w:val="28"/>
          <w:szCs w:val="28"/>
          <w:shd w:val="clear" w:color="auto" w:fill="FFFFFF"/>
        </w:rPr>
        <w:t>7.1.2  乙方必须与证券经纪商签订交易单元协议，并指定专用交易单元用于委托投资资产的交易工作。托管人据此协议与登记结算机构签订清算协议，以进行资金交收和信息传输。</w:t>
      </w:r>
    </w:p>
    <w:p>
      <w:pPr>
        <w:spacing w:line="360" w:lineRule="auto"/>
        <w:ind w:firstLine="560" w:firstLineChars="200"/>
        <w:rPr>
          <w:rFonts w:hint="eastAsia" w:ascii="仿宋_GB2312" w:eastAsia="仿宋_GB2312"/>
          <w:sz w:val="28"/>
          <w:szCs w:val="28"/>
          <w:shd w:val="clear" w:color="auto" w:fill="FFFFFF"/>
        </w:rPr>
      </w:pPr>
      <w:r>
        <w:rPr>
          <w:rFonts w:hint="eastAsia" w:ascii="仿宋_GB2312" w:eastAsia="仿宋_GB2312"/>
          <w:sz w:val="28"/>
          <w:szCs w:val="28"/>
          <w:shd w:val="clear" w:color="auto" w:fill="FFFFFF"/>
        </w:rPr>
        <w:t>7.1.3  如乙方兼任证券经纪商的，乙方不必签订交易单元协议，但应当及时将交易单元号、佣金标准等信息通知甲方和托管人。</w:t>
      </w:r>
    </w:p>
    <w:p>
      <w:pPr>
        <w:spacing w:line="360" w:lineRule="auto"/>
        <w:ind w:firstLine="560" w:firstLineChars="200"/>
        <w:rPr>
          <w:rFonts w:hint="eastAsia" w:ascii="仿宋_GB2312" w:eastAsia="仿宋_GB2312"/>
          <w:sz w:val="28"/>
          <w:szCs w:val="28"/>
          <w:shd w:val="clear" w:color="auto" w:fill="FFFFFF"/>
        </w:rPr>
      </w:pPr>
      <w:r>
        <w:rPr>
          <w:rFonts w:hint="eastAsia" w:ascii="仿宋_GB2312" w:eastAsia="仿宋_GB2312"/>
          <w:sz w:val="28"/>
          <w:szCs w:val="28"/>
          <w:shd w:val="clear" w:color="auto" w:fill="FFFFFF"/>
        </w:rPr>
        <w:t>7.2  证券经纪商的变更。</w:t>
      </w:r>
    </w:p>
    <w:p>
      <w:pPr>
        <w:spacing w:line="360" w:lineRule="auto"/>
        <w:ind w:left="-2"/>
        <w:rPr>
          <w:rFonts w:hint="eastAsia" w:ascii="仿宋_GB2312" w:eastAsia="仿宋_GB2312"/>
          <w:sz w:val="28"/>
          <w:szCs w:val="28"/>
          <w:shd w:val="clear" w:color="auto" w:fill="FFFFFF"/>
        </w:rPr>
      </w:pPr>
      <w:r>
        <w:rPr>
          <w:rFonts w:hint="eastAsia" w:ascii="仿宋_GB2312" w:eastAsia="仿宋_GB2312"/>
          <w:sz w:val="28"/>
          <w:szCs w:val="28"/>
          <w:shd w:val="clear" w:color="auto" w:fill="FFFFFF"/>
        </w:rPr>
        <w:t xml:space="preserve">    乙方有充足的理由认为证券经纪商不能履行证券经纪职责时，应当另行选择新的证券经纪商代替，但应当提前1个月通知甲方和托管人，原任经纪商在业务完全移交后方可退任。</w:t>
      </w:r>
    </w:p>
    <w:p>
      <w:pPr>
        <w:pStyle w:val="2"/>
        <w:jc w:val="center"/>
        <w:rPr>
          <w:rFonts w:hint="eastAsia" w:ascii="黑体" w:hAnsi="黑体" w:eastAsia="黑体"/>
          <w:b w:val="0"/>
          <w:sz w:val="28"/>
          <w:szCs w:val="28"/>
          <w:shd w:val="clear" w:color="auto" w:fill="FFFFFF"/>
        </w:rPr>
      </w:pPr>
      <w:bookmarkStart w:id="14" w:name="_Toc319934287"/>
      <w:r>
        <w:rPr>
          <w:rFonts w:hint="eastAsia" w:ascii="黑体" w:hAnsi="黑体" w:eastAsia="黑体"/>
          <w:b w:val="0"/>
          <w:sz w:val="28"/>
          <w:szCs w:val="28"/>
          <w:shd w:val="clear" w:color="auto" w:fill="FFFFFF"/>
        </w:rPr>
        <w:t xml:space="preserve">第八章  </w:t>
      </w:r>
      <w:r>
        <w:rPr>
          <w:rStyle w:val="17"/>
          <w:rFonts w:hint="eastAsia" w:ascii="黑体" w:eastAsia="黑体"/>
          <w:sz w:val="28"/>
          <w:szCs w:val="28"/>
          <w:shd w:val="clear" w:color="auto" w:fill="FFFFFF"/>
        </w:rPr>
        <w:t>投资指令的发送、确认与执行</w:t>
      </w:r>
      <w:bookmarkEnd w:id="14"/>
    </w:p>
    <w:p>
      <w:pPr>
        <w:spacing w:line="360" w:lineRule="auto"/>
        <w:ind w:firstLine="560" w:firstLineChars="200"/>
        <w:rPr>
          <w:rFonts w:hint="eastAsia" w:ascii="仿宋_GB2312" w:eastAsia="仿宋_GB2312"/>
          <w:sz w:val="28"/>
          <w:szCs w:val="28"/>
          <w:shd w:val="clear" w:color="auto" w:fill="FFFFFF"/>
        </w:rPr>
      </w:pPr>
      <w:r>
        <w:rPr>
          <w:rFonts w:hint="eastAsia" w:ascii="仿宋_GB2312" w:eastAsia="仿宋_GB2312"/>
          <w:sz w:val="28"/>
          <w:szCs w:val="28"/>
          <w:shd w:val="clear" w:color="auto" w:fill="FFFFFF"/>
        </w:rPr>
        <w:t>8.1  交易清算授权。</w:t>
      </w:r>
    </w:p>
    <w:p>
      <w:pPr>
        <w:spacing w:line="360" w:lineRule="auto"/>
        <w:ind w:firstLine="560" w:firstLineChars="200"/>
        <w:rPr>
          <w:rFonts w:hint="eastAsia" w:ascii="仿宋_GB2312" w:eastAsia="仿宋_GB2312"/>
          <w:sz w:val="28"/>
          <w:szCs w:val="28"/>
          <w:shd w:val="clear" w:color="auto" w:fill="FFFFFF"/>
        </w:rPr>
      </w:pPr>
      <w:r>
        <w:rPr>
          <w:rFonts w:hint="eastAsia" w:ascii="仿宋_GB2312" w:eastAsia="仿宋_GB2312"/>
          <w:sz w:val="28"/>
          <w:szCs w:val="28"/>
          <w:shd w:val="clear" w:color="auto" w:fill="FFFFFF"/>
        </w:rPr>
        <w:t>8.1.1  乙方有权在投资政策规定的范围内指示托管人办理委托投资资产的清算、证券交收和其他交易业务，无须取得甲方的个别同意或授权。</w:t>
      </w:r>
    </w:p>
    <w:p>
      <w:pPr>
        <w:spacing w:line="360" w:lineRule="auto"/>
        <w:ind w:firstLine="560" w:firstLineChars="200"/>
        <w:rPr>
          <w:rFonts w:hint="eastAsia" w:ascii="仿宋_GB2312" w:eastAsia="仿宋_GB2312"/>
          <w:sz w:val="28"/>
          <w:szCs w:val="28"/>
          <w:shd w:val="clear" w:color="auto" w:fill="FFFFFF"/>
        </w:rPr>
      </w:pPr>
      <w:r>
        <w:rPr>
          <w:rFonts w:hint="eastAsia" w:ascii="仿宋_GB2312" w:eastAsia="仿宋_GB2312"/>
          <w:sz w:val="28"/>
          <w:szCs w:val="28"/>
          <w:shd w:val="clear" w:color="auto" w:fill="FFFFFF"/>
        </w:rPr>
        <w:t>8.1.2  乙方依照投资政策全权负责委托投资资产的有价证券买卖交易，托管人依据乙方的指令办理交易清算，且不得妨碍乙方本合同约定的交易权限。</w:t>
      </w:r>
    </w:p>
    <w:p>
      <w:pPr>
        <w:spacing w:line="360" w:lineRule="auto"/>
        <w:ind w:firstLine="560" w:firstLineChars="200"/>
        <w:rPr>
          <w:rFonts w:hint="eastAsia" w:ascii="仿宋_GB2312" w:eastAsia="仿宋_GB2312"/>
          <w:sz w:val="28"/>
          <w:szCs w:val="28"/>
          <w:shd w:val="clear" w:color="auto" w:fill="FFFFFF"/>
        </w:rPr>
      </w:pPr>
      <w:r>
        <w:rPr>
          <w:rFonts w:hint="eastAsia" w:ascii="仿宋_GB2312" w:eastAsia="仿宋_GB2312"/>
          <w:sz w:val="28"/>
          <w:szCs w:val="28"/>
          <w:shd w:val="clear" w:color="auto" w:fill="FFFFFF"/>
        </w:rPr>
        <w:t>8.2  投资指令的内容包括但不限于交易的对象与标的、交割时间与方式、交割金额与数量等。</w:t>
      </w:r>
    </w:p>
    <w:p>
      <w:pPr>
        <w:spacing w:line="360" w:lineRule="auto"/>
        <w:ind w:firstLine="560" w:firstLineChars="200"/>
        <w:rPr>
          <w:rFonts w:hint="eastAsia" w:ascii="仿宋_GB2312" w:eastAsia="仿宋_GB2312"/>
          <w:sz w:val="28"/>
          <w:szCs w:val="28"/>
          <w:shd w:val="clear" w:color="auto" w:fill="FFFFFF"/>
        </w:rPr>
      </w:pPr>
      <w:r>
        <w:rPr>
          <w:rFonts w:hint="eastAsia" w:ascii="仿宋_GB2312" w:eastAsia="仿宋_GB2312"/>
          <w:sz w:val="28"/>
          <w:szCs w:val="28"/>
          <w:shd w:val="clear" w:color="auto" w:fill="FFFFFF"/>
        </w:rPr>
        <w:t>8.3  投资指令的发送、确认和执行程序。</w:t>
      </w:r>
    </w:p>
    <w:p>
      <w:pPr>
        <w:spacing w:line="360" w:lineRule="auto"/>
        <w:ind w:firstLine="560" w:firstLineChars="200"/>
        <w:rPr>
          <w:rFonts w:hint="eastAsia" w:ascii="仿宋_GB2312" w:eastAsia="仿宋_GB2312"/>
          <w:sz w:val="28"/>
          <w:szCs w:val="28"/>
          <w:shd w:val="clear" w:color="auto" w:fill="FFFFFF"/>
        </w:rPr>
      </w:pPr>
      <w:r>
        <w:rPr>
          <w:rFonts w:hint="eastAsia" w:ascii="仿宋_GB2312" w:eastAsia="仿宋_GB2312"/>
          <w:sz w:val="28"/>
          <w:szCs w:val="28"/>
          <w:shd w:val="clear" w:color="auto" w:fill="FFFFFF"/>
        </w:rPr>
        <w:t>8.3.1  乙方于成交日与交易对象确认成交内容后，应当及时向托管人出具相应投资指令，并为托管人执行指令预留必需的时间。</w:t>
      </w:r>
    </w:p>
    <w:p>
      <w:pPr>
        <w:spacing w:line="360" w:lineRule="auto"/>
        <w:ind w:firstLine="560" w:firstLineChars="200"/>
        <w:rPr>
          <w:rFonts w:hint="eastAsia" w:ascii="仿宋_GB2312" w:eastAsia="仿宋_GB2312"/>
          <w:sz w:val="28"/>
          <w:szCs w:val="28"/>
          <w:shd w:val="clear" w:color="auto" w:fill="FFFFFF"/>
        </w:rPr>
      </w:pPr>
      <w:r>
        <w:rPr>
          <w:rFonts w:hint="eastAsia" w:ascii="仿宋_GB2312" w:eastAsia="仿宋_GB2312"/>
          <w:sz w:val="28"/>
          <w:szCs w:val="28"/>
          <w:shd w:val="clear" w:color="auto" w:fill="FFFFFF"/>
        </w:rPr>
        <w:t>8.3.2  甲方要求托管人在核对相关交易单据、确认无越权交易后，应当及时根据乙方的投资指令进行划款和相关业务处理。</w:t>
      </w:r>
    </w:p>
    <w:p>
      <w:pPr>
        <w:tabs>
          <w:tab w:val="left" w:pos="540"/>
        </w:tabs>
        <w:spacing w:line="360" w:lineRule="auto"/>
        <w:ind w:firstLine="560" w:firstLineChars="200"/>
        <w:rPr>
          <w:rFonts w:hint="eastAsia" w:ascii="仿宋_GB2312" w:eastAsia="仿宋_GB2312"/>
          <w:sz w:val="28"/>
          <w:szCs w:val="28"/>
          <w:shd w:val="clear" w:color="auto" w:fill="FFFFFF"/>
        </w:rPr>
      </w:pPr>
      <w:r>
        <w:rPr>
          <w:rFonts w:hint="eastAsia" w:ascii="仿宋_GB2312" w:eastAsia="仿宋_GB2312"/>
          <w:sz w:val="28"/>
          <w:szCs w:val="28"/>
          <w:shd w:val="clear" w:color="auto" w:fill="FFFFFF"/>
        </w:rPr>
        <w:t>8.4  乙方应当加强头寸管理，严禁出现法律禁止的证券超买、超卖等行为。如乙方出现法律禁止的证券超买、超卖等行为，造成托管人清算困难和风险的，托管人发现后应当立即通知甲方及乙方，乙方应当及时采取补救措施并赔偿由此给委托投资资产和托管人造成的损失。</w:t>
      </w:r>
    </w:p>
    <w:p>
      <w:pPr>
        <w:pStyle w:val="2"/>
        <w:jc w:val="center"/>
        <w:rPr>
          <w:rFonts w:hint="eastAsia" w:ascii="黑体" w:hAnsi="黑体" w:eastAsia="黑体"/>
          <w:b w:val="0"/>
          <w:sz w:val="28"/>
          <w:szCs w:val="28"/>
          <w:shd w:val="clear" w:color="auto" w:fill="FFFFFF"/>
        </w:rPr>
      </w:pPr>
      <w:bookmarkStart w:id="15" w:name="_Toc319934288"/>
      <w:r>
        <w:rPr>
          <w:rFonts w:hint="eastAsia" w:ascii="黑体" w:hAnsi="黑体" w:eastAsia="黑体"/>
          <w:b w:val="0"/>
          <w:sz w:val="28"/>
          <w:szCs w:val="28"/>
          <w:shd w:val="clear" w:color="auto" w:fill="FFFFFF"/>
        </w:rPr>
        <w:t xml:space="preserve">第九章  </w:t>
      </w:r>
      <w:r>
        <w:rPr>
          <w:rStyle w:val="17"/>
          <w:rFonts w:hint="eastAsia" w:ascii="黑体" w:eastAsia="黑体"/>
          <w:sz w:val="28"/>
          <w:szCs w:val="28"/>
          <w:shd w:val="clear" w:color="auto" w:fill="FFFFFF"/>
        </w:rPr>
        <w:t>越权交易和被动超标的处理</w:t>
      </w:r>
      <w:bookmarkEnd w:id="15"/>
    </w:p>
    <w:p>
      <w:pPr>
        <w:spacing w:line="360" w:lineRule="auto"/>
        <w:ind w:left="-2" w:leftChars="-1" w:firstLine="560" w:firstLineChars="200"/>
        <w:rPr>
          <w:rFonts w:hint="eastAsia" w:ascii="仿宋_GB2312" w:eastAsia="仿宋_GB2312"/>
          <w:sz w:val="28"/>
          <w:szCs w:val="28"/>
          <w:shd w:val="clear" w:color="auto" w:fill="FFFFFF"/>
        </w:rPr>
      </w:pPr>
      <w:r>
        <w:rPr>
          <w:rFonts w:hint="eastAsia" w:ascii="仿宋_GB2312" w:eastAsia="仿宋_GB2312"/>
          <w:sz w:val="28"/>
          <w:szCs w:val="28"/>
          <w:shd w:val="clear" w:color="auto" w:fill="FFFFFF"/>
        </w:rPr>
        <w:t>9.1</w:t>
      </w:r>
      <w:r>
        <w:rPr>
          <w:rFonts w:hint="eastAsia" w:ascii="仿宋_GB2312" w:eastAsia="仿宋_GB2312"/>
          <w:b/>
          <w:sz w:val="28"/>
          <w:szCs w:val="28"/>
          <w:shd w:val="clear" w:color="auto" w:fill="FFFFFF"/>
        </w:rPr>
        <w:t xml:space="preserve">  </w:t>
      </w:r>
      <w:r>
        <w:rPr>
          <w:rFonts w:hint="eastAsia" w:ascii="仿宋_GB2312" w:eastAsia="仿宋_GB2312"/>
          <w:sz w:val="28"/>
          <w:szCs w:val="28"/>
          <w:shd w:val="clear" w:color="auto" w:fill="FFFFFF"/>
        </w:rPr>
        <w:t>投资管理人越权交易界定。</w:t>
      </w:r>
    </w:p>
    <w:p>
      <w:pPr>
        <w:spacing w:line="360" w:lineRule="auto"/>
        <w:ind w:left="-2" w:leftChars="-1" w:firstLine="560" w:firstLineChars="200"/>
        <w:rPr>
          <w:rFonts w:hint="eastAsia" w:ascii="仿宋_GB2312" w:eastAsia="仿宋_GB2312"/>
          <w:sz w:val="28"/>
          <w:szCs w:val="28"/>
          <w:shd w:val="clear" w:color="auto" w:fill="FFFFFF"/>
        </w:rPr>
      </w:pPr>
      <w:r>
        <w:rPr>
          <w:rFonts w:hint="eastAsia" w:ascii="仿宋_GB2312" w:eastAsia="仿宋_GB2312"/>
          <w:sz w:val="28"/>
          <w:szCs w:val="28"/>
          <w:shd w:val="clear" w:color="auto" w:fill="FFFFFF"/>
        </w:rPr>
        <w:t>本合同所指越权交易包括法律法规禁止的超买超卖行为、投资比例及投资范围不符合本合同约定或其他违反本合同约定和法律法规规定的投资行为，但是因被动超标等乙方之外的因素致使组合的投资范围和投资比例不符合本合同约定或法律法规规定的情况除外。</w:t>
      </w:r>
    </w:p>
    <w:p>
      <w:pPr>
        <w:pStyle w:val="26"/>
        <w:spacing w:line="360" w:lineRule="auto"/>
        <w:ind w:firstLine="560"/>
        <w:rPr>
          <w:rFonts w:hint="eastAsia" w:ascii="仿宋_GB2312" w:hAnsi="Times New Roman" w:eastAsia="仿宋_GB2312"/>
          <w:sz w:val="28"/>
          <w:szCs w:val="28"/>
          <w:shd w:val="clear" w:color="auto" w:fill="FFFFFF"/>
        </w:rPr>
      </w:pPr>
      <w:r>
        <w:rPr>
          <w:rFonts w:hint="eastAsia" w:ascii="仿宋_GB2312" w:hAnsi="Times New Roman" w:eastAsia="仿宋_GB2312"/>
          <w:sz w:val="28"/>
          <w:szCs w:val="28"/>
          <w:shd w:val="clear" w:color="auto" w:fill="FFFFFF"/>
        </w:rPr>
        <w:t>9.2越权交易的认定。</w:t>
      </w:r>
    </w:p>
    <w:p>
      <w:pPr>
        <w:pStyle w:val="26"/>
        <w:spacing w:line="360" w:lineRule="auto"/>
        <w:ind w:firstLine="560"/>
        <w:rPr>
          <w:rFonts w:hint="eastAsia" w:ascii="仿宋_GB2312" w:hAnsi="Times New Roman" w:eastAsia="仿宋_GB2312"/>
          <w:sz w:val="28"/>
          <w:szCs w:val="28"/>
          <w:shd w:val="clear" w:color="auto" w:fill="FFFFFF"/>
        </w:rPr>
      </w:pPr>
      <w:r>
        <w:rPr>
          <w:rFonts w:hint="eastAsia" w:ascii="仿宋_GB2312" w:hAnsi="Times New Roman" w:eastAsia="仿宋_GB2312"/>
          <w:sz w:val="28"/>
          <w:szCs w:val="28"/>
          <w:shd w:val="clear" w:color="auto" w:fill="FFFFFF"/>
        </w:rPr>
        <w:t>托管人发现乙方出现越权交易行为后，应当及时通知甲方，并向乙方发出越权交易通知：</w:t>
      </w:r>
    </w:p>
    <w:p>
      <w:pPr>
        <w:pStyle w:val="26"/>
        <w:spacing w:line="360" w:lineRule="auto"/>
        <w:ind w:firstLine="560"/>
        <w:rPr>
          <w:rFonts w:hint="eastAsia" w:ascii="仿宋_GB2312" w:hAnsi="Times New Roman" w:eastAsia="仿宋_GB2312"/>
          <w:sz w:val="28"/>
          <w:szCs w:val="28"/>
          <w:shd w:val="clear" w:color="auto" w:fill="FFFFFF"/>
        </w:rPr>
      </w:pPr>
      <w:r>
        <w:rPr>
          <w:rFonts w:hint="eastAsia" w:ascii="仿宋_GB2312" w:hAnsi="Times New Roman" w:eastAsia="仿宋_GB2312"/>
          <w:sz w:val="28"/>
          <w:szCs w:val="28"/>
          <w:shd w:val="clear" w:color="auto" w:fill="FFFFFF"/>
        </w:rPr>
        <w:t>9.2.1乙方对越权交易行为无异议的，托管人按照9.3的规定进行越权交易处理。</w:t>
      </w:r>
    </w:p>
    <w:p>
      <w:pPr>
        <w:pStyle w:val="26"/>
        <w:spacing w:line="360" w:lineRule="auto"/>
        <w:ind w:firstLine="560"/>
        <w:rPr>
          <w:rFonts w:hint="eastAsia" w:ascii="仿宋_GB2312" w:hAnsi="Times New Roman" w:eastAsia="仿宋_GB2312"/>
          <w:sz w:val="28"/>
          <w:szCs w:val="28"/>
          <w:shd w:val="clear" w:color="auto" w:fill="FFFFFF"/>
        </w:rPr>
      </w:pPr>
      <w:r>
        <w:rPr>
          <w:rFonts w:hint="eastAsia" w:ascii="仿宋_GB2312" w:hAnsi="Times New Roman" w:eastAsia="仿宋_GB2312"/>
          <w:sz w:val="28"/>
          <w:szCs w:val="28"/>
          <w:shd w:val="clear" w:color="auto" w:fill="FFFFFF"/>
        </w:rPr>
        <w:t>9.2.2当乙方与托管人对投资行为是否属于越权交易存在争议时，甲方应当在合理时间内对争议事项予以认定并书面通知托管人和乙方，甲方认定为越权交易的，托管人按照9.3的规定进行越权交易处理。甲方认定为不越权的，托管人按乙方指令执行。甲方在合理时间内未予答复的，视同甲方认可托管人的意见，乙方按托管人的通知执行，由此给委托投资资产造成的损失，如确不可归责于乙方，则乙方不承担责任。</w:t>
      </w:r>
    </w:p>
    <w:p>
      <w:pPr>
        <w:spacing w:line="360" w:lineRule="auto"/>
        <w:ind w:left="-2" w:leftChars="-1" w:firstLine="560" w:firstLineChars="200"/>
        <w:rPr>
          <w:rFonts w:hint="eastAsia" w:ascii="仿宋_GB2312" w:eastAsia="仿宋_GB2312"/>
          <w:sz w:val="28"/>
          <w:szCs w:val="28"/>
          <w:shd w:val="clear" w:color="auto" w:fill="FFFFFF"/>
        </w:rPr>
      </w:pPr>
      <w:r>
        <w:rPr>
          <w:rFonts w:hint="eastAsia" w:ascii="仿宋_GB2312" w:eastAsia="仿宋_GB2312"/>
          <w:sz w:val="28"/>
          <w:szCs w:val="28"/>
          <w:shd w:val="clear" w:color="auto" w:fill="FFFFFF"/>
        </w:rPr>
        <w:t>9.3  对越权交易的处理。</w:t>
      </w:r>
    </w:p>
    <w:p>
      <w:pPr>
        <w:spacing w:line="360" w:lineRule="auto"/>
        <w:ind w:left="-2" w:leftChars="-1" w:firstLine="560" w:firstLineChars="200"/>
        <w:rPr>
          <w:rFonts w:hint="eastAsia" w:ascii="仿宋_GB2312" w:eastAsia="仿宋_GB2312"/>
          <w:sz w:val="28"/>
          <w:szCs w:val="28"/>
          <w:shd w:val="clear" w:color="auto" w:fill="FFFFFF"/>
        </w:rPr>
      </w:pPr>
      <w:r>
        <w:rPr>
          <w:rFonts w:hint="eastAsia" w:ascii="仿宋_GB2312" w:eastAsia="仿宋_GB2312"/>
          <w:sz w:val="28"/>
          <w:szCs w:val="28"/>
          <w:shd w:val="clear" w:color="auto" w:fill="FFFFFF"/>
        </w:rPr>
        <w:t>9.3.1  乙方下达的未成立的投资指令被认定为越权交易的，托管人应当拒绝执行。</w:t>
      </w:r>
    </w:p>
    <w:p>
      <w:pPr>
        <w:spacing w:line="360" w:lineRule="auto"/>
        <w:ind w:left="-2" w:leftChars="-1" w:firstLine="560" w:firstLineChars="200"/>
        <w:rPr>
          <w:rFonts w:hint="eastAsia" w:ascii="仿宋_GB2312" w:eastAsia="仿宋_GB2312"/>
          <w:sz w:val="28"/>
          <w:szCs w:val="28"/>
          <w:shd w:val="clear" w:color="auto" w:fill="FFFFFF"/>
        </w:rPr>
      </w:pPr>
      <w:r>
        <w:rPr>
          <w:rFonts w:hint="eastAsia" w:ascii="仿宋_GB2312" w:eastAsia="仿宋_GB2312"/>
          <w:sz w:val="28"/>
          <w:szCs w:val="28"/>
          <w:shd w:val="clear" w:color="auto" w:fill="FFFFFF"/>
        </w:rPr>
        <w:t>9.3.2  乙方下达的已成立的投资指令被认定为越权交易的，越权交易买进或卖出的款、券，乙方应当于交割清算完成之日起进行相反的卖出或买进冲销处理并结算损益，所发生的损失（含相关交易费用）由乙方负担，所产生</w:t>
      </w:r>
      <w:bookmarkStart w:id="16" w:name="_Toc188691386"/>
      <w:r>
        <w:rPr>
          <w:rFonts w:hint="eastAsia" w:ascii="仿宋_GB2312" w:eastAsia="仿宋_GB2312"/>
          <w:sz w:val="28"/>
          <w:szCs w:val="28"/>
          <w:shd w:val="clear" w:color="auto" w:fill="FFFFFF"/>
        </w:rPr>
        <w:t>的收益归本委托投资资产所有。</w:t>
      </w:r>
    </w:p>
    <w:p>
      <w:pPr>
        <w:spacing w:line="360" w:lineRule="auto"/>
        <w:ind w:left="-2" w:leftChars="-1" w:firstLine="560" w:firstLineChars="200"/>
        <w:rPr>
          <w:rFonts w:hint="eastAsia" w:ascii="仿宋_GB2312" w:eastAsia="仿宋_GB2312"/>
          <w:sz w:val="28"/>
          <w:szCs w:val="28"/>
          <w:shd w:val="clear" w:color="auto" w:fill="FFFFFF"/>
        </w:rPr>
      </w:pPr>
      <w:r>
        <w:rPr>
          <w:rFonts w:hint="eastAsia" w:ascii="仿宋_GB2312" w:eastAsia="仿宋_GB2312"/>
          <w:sz w:val="28"/>
          <w:szCs w:val="28"/>
          <w:shd w:val="clear" w:color="auto" w:fill="FFFFFF"/>
        </w:rPr>
        <w:t>9.3.3  乙方应当及时查明越权交易的原因及责任人，并向甲方及托管人提供越权交易报告。</w:t>
      </w:r>
    </w:p>
    <w:p>
      <w:pPr>
        <w:spacing w:line="360" w:lineRule="auto"/>
        <w:ind w:left="-2" w:leftChars="-1" w:firstLine="560" w:firstLineChars="200"/>
        <w:rPr>
          <w:rFonts w:hint="eastAsia" w:ascii="仿宋_GB2312" w:eastAsia="仿宋_GB2312"/>
          <w:sz w:val="28"/>
          <w:szCs w:val="28"/>
          <w:shd w:val="clear" w:color="auto" w:fill="FFFFFF"/>
        </w:rPr>
      </w:pPr>
      <w:r>
        <w:rPr>
          <w:rFonts w:hint="eastAsia" w:ascii="仿宋_GB2312" w:eastAsia="仿宋_GB2312"/>
          <w:sz w:val="28"/>
          <w:szCs w:val="28"/>
          <w:shd w:val="clear" w:color="auto" w:fill="FFFFFF"/>
        </w:rPr>
        <w:t>9.4  被动超标的处理</w:t>
      </w:r>
      <w:bookmarkEnd w:id="16"/>
      <w:r>
        <w:rPr>
          <w:rFonts w:hint="eastAsia" w:ascii="仿宋_GB2312" w:eastAsia="仿宋_GB2312"/>
          <w:sz w:val="28"/>
          <w:szCs w:val="28"/>
          <w:shd w:val="clear" w:color="auto" w:fill="FFFFFF"/>
        </w:rPr>
        <w:t>。</w:t>
      </w:r>
    </w:p>
    <w:p>
      <w:pPr>
        <w:spacing w:line="360" w:lineRule="auto"/>
        <w:ind w:left="-2" w:leftChars="-1" w:firstLine="560" w:firstLineChars="200"/>
        <w:rPr>
          <w:rFonts w:hint="eastAsia" w:ascii="仿宋_GB2312" w:eastAsia="仿宋_GB2312"/>
          <w:sz w:val="28"/>
          <w:szCs w:val="28"/>
          <w:shd w:val="clear" w:color="auto" w:fill="FFFFFF"/>
        </w:rPr>
      </w:pPr>
      <w:r>
        <w:rPr>
          <w:rFonts w:hint="eastAsia" w:ascii="仿宋_GB2312" w:eastAsia="仿宋_GB2312"/>
          <w:color w:val="000000"/>
          <w:kern w:val="0"/>
          <w:sz w:val="28"/>
          <w:szCs w:val="28"/>
          <w:shd w:val="clear" w:color="auto" w:fill="FFFFFF"/>
        </w:rPr>
        <w:t>被动超标一般包括</w:t>
      </w:r>
      <w:r>
        <w:rPr>
          <w:rFonts w:hint="eastAsia" w:ascii="仿宋_GB2312" w:eastAsia="仿宋_GB2312"/>
          <w:sz w:val="28"/>
          <w:szCs w:val="28"/>
          <w:shd w:val="clear" w:color="auto" w:fill="FFFFFF"/>
        </w:rPr>
        <w:t>证券市场波动、上市公司合并、组合规模变动、不可预知的中签率等乙方之外的因素致使组合投资不符合本合同约定的投资政策的情况。被动超标包括投资比例被动超标和投资品种被动超标。</w:t>
      </w:r>
    </w:p>
    <w:p>
      <w:pPr>
        <w:spacing w:line="360" w:lineRule="auto"/>
        <w:ind w:firstLine="560" w:firstLineChars="200"/>
        <w:rPr>
          <w:rFonts w:hint="eastAsia" w:ascii="仿宋_GB2312" w:eastAsia="仿宋_GB2312"/>
          <w:sz w:val="28"/>
          <w:szCs w:val="28"/>
          <w:shd w:val="clear" w:color="auto" w:fill="FFFFFF"/>
        </w:rPr>
      </w:pPr>
      <w:r>
        <w:rPr>
          <w:rFonts w:hint="eastAsia" w:ascii="仿宋_GB2312" w:eastAsia="仿宋_GB2312"/>
          <w:sz w:val="28"/>
          <w:szCs w:val="28"/>
          <w:shd w:val="clear" w:color="auto" w:fill="FFFFFF"/>
        </w:rPr>
        <w:t>9.4.1  投资比例被动超标。</w:t>
      </w:r>
    </w:p>
    <w:p>
      <w:pPr>
        <w:spacing w:line="360" w:lineRule="auto"/>
        <w:ind w:left="-2" w:leftChars="-1" w:firstLine="560" w:firstLineChars="200"/>
        <w:rPr>
          <w:rFonts w:hint="eastAsia" w:ascii="仿宋_GB2312" w:eastAsia="仿宋_GB2312"/>
          <w:sz w:val="28"/>
          <w:szCs w:val="28"/>
          <w:shd w:val="clear" w:color="auto" w:fill="FFFFFF"/>
        </w:rPr>
      </w:pPr>
      <w:r>
        <w:rPr>
          <w:rFonts w:hint="eastAsia" w:ascii="仿宋_GB2312" w:eastAsia="仿宋_GB2312"/>
          <w:sz w:val="28"/>
          <w:szCs w:val="28"/>
          <w:shd w:val="clear" w:color="auto" w:fill="FFFFFF"/>
        </w:rPr>
        <w:t>9.4.1.1  投资比例被动超标是指乙方日常操作符合国家法律法规规定及投资政策的约定，但因乙方之外的因素导致投资比例超过规定的情况。</w:t>
      </w:r>
    </w:p>
    <w:p>
      <w:pPr>
        <w:spacing w:line="360" w:lineRule="auto"/>
        <w:ind w:left="-2" w:leftChars="-1" w:firstLine="560" w:firstLineChars="200"/>
        <w:rPr>
          <w:rFonts w:hint="eastAsia" w:ascii="仿宋_GB2312" w:eastAsia="仿宋_GB2312"/>
          <w:sz w:val="28"/>
          <w:szCs w:val="28"/>
          <w:shd w:val="clear" w:color="auto" w:fill="FFFFFF"/>
        </w:rPr>
      </w:pPr>
      <w:r>
        <w:rPr>
          <w:rFonts w:hint="eastAsia" w:ascii="仿宋_GB2312" w:eastAsia="仿宋_GB2312"/>
          <w:sz w:val="28"/>
          <w:szCs w:val="28"/>
          <w:shd w:val="clear" w:color="auto" w:fill="FFFFFF"/>
        </w:rPr>
        <w:t>9.4.1.2  投资比例被动超标一般包括因证券市场波动导致资产的市值变化、申购新股时因不可预知中签率而导致的超标、债转股导致的超标、投资组合规模变动（委托投资资产的追加或提取）导致超标等客观情况。</w:t>
      </w:r>
    </w:p>
    <w:p>
      <w:pPr>
        <w:spacing w:line="360" w:lineRule="auto"/>
        <w:ind w:left="-2" w:leftChars="-1" w:firstLine="560" w:firstLineChars="200"/>
        <w:rPr>
          <w:rFonts w:hint="eastAsia" w:ascii="仿宋_GB2312" w:eastAsia="仿宋_GB2312"/>
          <w:sz w:val="28"/>
          <w:szCs w:val="28"/>
          <w:shd w:val="clear" w:color="auto" w:fill="FFFFFF"/>
        </w:rPr>
      </w:pPr>
      <w:r>
        <w:rPr>
          <w:rFonts w:hint="eastAsia" w:ascii="仿宋_GB2312" w:eastAsia="仿宋_GB2312"/>
          <w:sz w:val="28"/>
          <w:szCs w:val="28"/>
          <w:shd w:val="clear" w:color="auto" w:fill="FFFFFF"/>
        </w:rPr>
        <w:t>9.4.1.3  在投资管理过程中，乙方应当采取积极措施尽量避免出现投资比例被动超标，发现投资比例被动超标后，乙方应当在相关品种可上市交易的10个交易日内调整完毕。</w:t>
      </w:r>
    </w:p>
    <w:p>
      <w:pPr>
        <w:spacing w:line="360" w:lineRule="auto"/>
        <w:ind w:firstLine="560" w:firstLineChars="200"/>
        <w:rPr>
          <w:rFonts w:hint="eastAsia" w:ascii="仿宋_GB2312" w:eastAsia="仿宋_GB2312"/>
          <w:sz w:val="28"/>
          <w:szCs w:val="28"/>
          <w:shd w:val="clear" w:color="auto" w:fill="FFFFFF"/>
        </w:rPr>
      </w:pPr>
      <w:r>
        <w:rPr>
          <w:rFonts w:hint="eastAsia" w:ascii="仿宋_GB2312" w:eastAsia="仿宋_GB2312"/>
          <w:sz w:val="28"/>
          <w:szCs w:val="28"/>
          <w:shd w:val="clear" w:color="auto" w:fill="FFFFFF"/>
        </w:rPr>
        <w:t>9.4.1.4  当因委托投资资产追加或提取导致乙方管理的单个投资组合基金规模一次性增加或减少50%以上时，乙方应当自上述情况发生之日起</w:t>
      </w:r>
      <w:r>
        <w:rPr>
          <w:rFonts w:hint="eastAsia" w:ascii="仿宋_GB2312" w:eastAsia="仿宋_GB2312"/>
          <w:sz w:val="28"/>
          <w:szCs w:val="28"/>
          <w:u w:val="single"/>
          <w:shd w:val="clear" w:color="auto" w:fill="FFFFFF"/>
        </w:rPr>
        <w:t xml:space="preserve">   </w:t>
      </w:r>
      <w:r>
        <w:rPr>
          <w:rFonts w:hint="eastAsia" w:ascii="仿宋_GB2312" w:eastAsia="仿宋_GB2312"/>
          <w:sz w:val="28"/>
          <w:szCs w:val="28"/>
          <w:shd w:val="clear" w:color="auto" w:fill="FFFFFF"/>
        </w:rPr>
        <w:t>日内将投资比例调整至规定范围内。</w:t>
      </w:r>
    </w:p>
    <w:p>
      <w:pPr>
        <w:spacing w:line="360" w:lineRule="auto"/>
        <w:ind w:firstLine="560" w:firstLineChars="200"/>
        <w:rPr>
          <w:rFonts w:hint="eastAsia" w:ascii="仿宋_GB2312" w:eastAsia="仿宋_GB2312"/>
          <w:sz w:val="28"/>
          <w:szCs w:val="28"/>
          <w:shd w:val="clear" w:color="auto" w:fill="FFFFFF"/>
        </w:rPr>
      </w:pPr>
      <w:r>
        <w:rPr>
          <w:rFonts w:hint="eastAsia" w:ascii="仿宋_GB2312" w:eastAsia="仿宋_GB2312"/>
          <w:sz w:val="28"/>
          <w:szCs w:val="28"/>
          <w:shd w:val="clear" w:color="auto" w:fill="FFFFFF"/>
        </w:rPr>
        <w:t>9.4.1.5  自发现投资比例被动超标至将投资比例调整至规定范围内的期间，该类资产的投资仅限于向调整至规定范围内的方向操作，严禁逆向操作。</w:t>
      </w:r>
    </w:p>
    <w:p>
      <w:pPr>
        <w:spacing w:line="360" w:lineRule="auto"/>
        <w:ind w:left="-2" w:leftChars="-1" w:firstLine="560" w:firstLineChars="200"/>
        <w:rPr>
          <w:rFonts w:hint="eastAsia" w:ascii="仿宋_GB2312" w:eastAsia="仿宋_GB2312"/>
          <w:sz w:val="28"/>
          <w:szCs w:val="28"/>
          <w:shd w:val="clear" w:color="auto" w:fill="FFFFFF"/>
        </w:rPr>
      </w:pPr>
      <w:r>
        <w:rPr>
          <w:rFonts w:hint="eastAsia" w:ascii="仿宋_GB2312" w:eastAsia="仿宋_GB2312"/>
          <w:sz w:val="28"/>
          <w:szCs w:val="28"/>
          <w:shd w:val="clear" w:color="auto" w:fill="FFFFFF"/>
        </w:rPr>
        <w:t>9.4.2  投资品种被动超标。</w:t>
      </w:r>
    </w:p>
    <w:p>
      <w:pPr>
        <w:spacing w:line="360" w:lineRule="auto"/>
        <w:ind w:left="-2" w:leftChars="-1" w:firstLine="560" w:firstLineChars="200"/>
        <w:rPr>
          <w:rFonts w:hint="eastAsia" w:ascii="仿宋_GB2312" w:eastAsia="仿宋_GB2312"/>
          <w:sz w:val="28"/>
          <w:szCs w:val="28"/>
          <w:shd w:val="clear" w:color="auto" w:fill="FFFFFF"/>
        </w:rPr>
      </w:pPr>
      <w:r>
        <w:rPr>
          <w:rFonts w:hint="eastAsia" w:ascii="仿宋_GB2312" w:eastAsia="仿宋_GB2312"/>
          <w:sz w:val="28"/>
          <w:szCs w:val="28"/>
          <w:shd w:val="clear" w:color="auto" w:fill="FFFFFF"/>
        </w:rPr>
        <w:t>9.4.2.1  投资品种被动超标指因非直接投资而持有证券或合规投资而持有的证券在持有期间，因乙方以外的因素导致持有相关证券违反法律法规规定、投资管理合同相关条款或投资组合投资运作监督事项表约定的禁止持有的投资品种的情况。</w:t>
      </w:r>
    </w:p>
    <w:p>
      <w:pPr>
        <w:spacing w:line="360" w:lineRule="auto"/>
        <w:ind w:left="-2" w:leftChars="-1" w:firstLine="560" w:firstLineChars="200"/>
        <w:rPr>
          <w:rFonts w:hint="eastAsia" w:ascii="仿宋_GB2312" w:eastAsia="仿宋_GB2312"/>
          <w:sz w:val="28"/>
          <w:szCs w:val="28"/>
          <w:shd w:val="clear" w:color="auto" w:fill="FFFFFF"/>
        </w:rPr>
      </w:pPr>
      <w:r>
        <w:rPr>
          <w:rFonts w:hint="eastAsia" w:ascii="仿宋_GB2312" w:eastAsia="仿宋_GB2312"/>
          <w:sz w:val="28"/>
          <w:szCs w:val="28"/>
          <w:shd w:val="clear" w:color="auto" w:fill="FFFFFF"/>
        </w:rPr>
        <w:t>9.4.2.2  在投资运作过程中，乙方应当采取积极措施尽量避免出现投资品种被动超标，发现投资品种被动超标后，乙方应当以投资组合资产净值最大化为原则，在该投资品种上市交易的10 个交易日内调整完毕。</w:t>
      </w:r>
    </w:p>
    <w:p>
      <w:pPr>
        <w:pStyle w:val="2"/>
        <w:jc w:val="center"/>
        <w:rPr>
          <w:rFonts w:hint="eastAsia" w:ascii="黑体" w:hAnsi="黑体" w:eastAsia="黑体"/>
          <w:b w:val="0"/>
          <w:sz w:val="28"/>
          <w:szCs w:val="28"/>
          <w:shd w:val="clear" w:color="auto" w:fill="FFFFFF"/>
        </w:rPr>
      </w:pPr>
      <w:bookmarkStart w:id="17" w:name="_Toc319934289"/>
      <w:r>
        <w:rPr>
          <w:rFonts w:hint="eastAsia" w:ascii="黑体" w:hAnsi="黑体" w:eastAsia="黑体"/>
          <w:b w:val="0"/>
          <w:sz w:val="28"/>
          <w:szCs w:val="28"/>
          <w:shd w:val="clear" w:color="auto" w:fill="FFFFFF"/>
        </w:rPr>
        <w:t xml:space="preserve">第十章  </w:t>
      </w:r>
      <w:r>
        <w:rPr>
          <w:rStyle w:val="17"/>
          <w:rFonts w:hint="eastAsia" w:ascii="黑体" w:eastAsia="黑体"/>
          <w:sz w:val="28"/>
          <w:szCs w:val="28"/>
          <w:shd w:val="clear" w:color="auto" w:fill="FFFFFF"/>
        </w:rPr>
        <w:t>委托投资资产的估值</w:t>
      </w:r>
      <w:bookmarkEnd w:id="17"/>
    </w:p>
    <w:p>
      <w:pPr>
        <w:spacing w:line="360" w:lineRule="auto"/>
        <w:ind w:firstLine="560" w:firstLineChars="200"/>
        <w:rPr>
          <w:rFonts w:hint="eastAsia" w:ascii="仿宋_GB2312" w:eastAsia="仿宋_GB2312"/>
          <w:sz w:val="28"/>
          <w:szCs w:val="28"/>
          <w:shd w:val="clear" w:color="auto" w:fill="FFFFFF"/>
        </w:rPr>
      </w:pPr>
      <w:r>
        <w:rPr>
          <w:rFonts w:hint="eastAsia" w:ascii="仿宋_GB2312" w:eastAsia="仿宋_GB2312"/>
          <w:sz w:val="28"/>
          <w:szCs w:val="28"/>
          <w:shd w:val="clear" w:color="auto" w:fill="FFFFFF"/>
        </w:rPr>
        <w:t>10.1　估值目的。</w:t>
      </w:r>
    </w:p>
    <w:p>
      <w:pPr>
        <w:spacing w:line="360" w:lineRule="auto"/>
        <w:ind w:firstLine="560" w:firstLineChars="200"/>
        <w:rPr>
          <w:rFonts w:hint="eastAsia" w:ascii="仿宋_GB2312" w:hAnsi="宋体" w:eastAsia="仿宋_GB2312"/>
          <w:color w:val="000000"/>
          <w:sz w:val="28"/>
          <w:szCs w:val="28"/>
          <w:shd w:val="clear" w:color="auto" w:fill="FFFFFF"/>
        </w:rPr>
      </w:pPr>
      <w:r>
        <w:rPr>
          <w:rFonts w:hint="eastAsia" w:ascii="仿宋_GB2312" w:hAnsi="宋体" w:eastAsia="仿宋_GB2312"/>
          <w:color w:val="000000"/>
          <w:sz w:val="28"/>
          <w:szCs w:val="28"/>
          <w:shd w:val="clear" w:color="auto" w:fill="FFFFFF"/>
        </w:rPr>
        <w:t>客观、准确地反映企业年金基金财产的价值。</w:t>
      </w:r>
    </w:p>
    <w:p>
      <w:pPr>
        <w:spacing w:line="360" w:lineRule="auto"/>
        <w:ind w:firstLine="560" w:firstLineChars="200"/>
        <w:rPr>
          <w:rFonts w:hint="eastAsia" w:ascii="仿宋_GB2312" w:hAnsi="宋体" w:eastAsia="仿宋_GB2312"/>
          <w:color w:val="000000"/>
          <w:sz w:val="28"/>
          <w:szCs w:val="28"/>
          <w:shd w:val="clear" w:color="auto" w:fill="FFFFFF"/>
        </w:rPr>
      </w:pPr>
      <w:r>
        <w:rPr>
          <w:rFonts w:hint="eastAsia" w:ascii="仿宋_GB2312" w:hAnsi="宋体" w:eastAsia="仿宋_GB2312"/>
          <w:color w:val="000000"/>
          <w:sz w:val="28"/>
          <w:szCs w:val="28"/>
          <w:shd w:val="clear" w:color="auto" w:fill="FFFFFF"/>
        </w:rPr>
        <w:t>10.2　估值日。</w:t>
      </w:r>
    </w:p>
    <w:p>
      <w:pPr>
        <w:spacing w:line="360" w:lineRule="auto"/>
        <w:ind w:firstLine="560" w:firstLineChars="200"/>
        <w:rPr>
          <w:rFonts w:hint="eastAsia" w:ascii="仿宋_GB2312" w:hAnsi="宋体" w:eastAsia="仿宋_GB2312"/>
          <w:color w:val="000000"/>
          <w:sz w:val="28"/>
          <w:szCs w:val="28"/>
          <w:shd w:val="clear" w:color="auto" w:fill="FFFFFF"/>
        </w:rPr>
      </w:pPr>
      <w:r>
        <w:rPr>
          <w:rFonts w:hint="eastAsia" w:ascii="仿宋_GB2312" w:hAnsi="宋体" w:eastAsia="仿宋_GB2312"/>
          <w:color w:val="000000"/>
          <w:sz w:val="28"/>
          <w:szCs w:val="28"/>
          <w:shd w:val="clear" w:color="auto" w:fill="FFFFFF"/>
        </w:rPr>
        <w:t>估值日为交易日。</w:t>
      </w:r>
    </w:p>
    <w:p>
      <w:pPr>
        <w:spacing w:line="360" w:lineRule="auto"/>
        <w:ind w:firstLine="560" w:firstLineChars="200"/>
        <w:rPr>
          <w:rFonts w:hint="eastAsia" w:ascii="仿宋_GB2312" w:eastAsia="仿宋_GB2312"/>
          <w:sz w:val="28"/>
          <w:szCs w:val="28"/>
          <w:shd w:val="clear" w:color="auto" w:fill="FFFFFF"/>
        </w:rPr>
      </w:pPr>
      <w:r>
        <w:rPr>
          <w:rFonts w:hint="eastAsia" w:ascii="仿宋_GB2312" w:eastAsia="仿宋_GB2312"/>
          <w:sz w:val="28"/>
          <w:szCs w:val="28"/>
          <w:shd w:val="clear" w:color="auto" w:fill="FFFFFF"/>
        </w:rPr>
        <w:t>10.3  估值对象。</w:t>
      </w:r>
    </w:p>
    <w:p>
      <w:pPr>
        <w:spacing w:line="360" w:lineRule="auto"/>
        <w:ind w:firstLine="560" w:firstLineChars="200"/>
        <w:rPr>
          <w:rFonts w:hint="eastAsia" w:ascii="仿宋_GB2312" w:eastAsia="仿宋_GB2312"/>
          <w:sz w:val="28"/>
          <w:szCs w:val="28"/>
          <w:shd w:val="clear" w:color="auto" w:fill="FFFFFF"/>
        </w:rPr>
      </w:pPr>
      <w:r>
        <w:rPr>
          <w:rFonts w:hint="eastAsia" w:ascii="仿宋_GB2312" w:eastAsia="仿宋_GB2312"/>
          <w:sz w:val="28"/>
          <w:szCs w:val="28"/>
          <w:shd w:val="clear" w:color="auto" w:fill="FFFFFF"/>
        </w:rPr>
        <w:t>企业年金基金在法律法规规定的投资范围内运营取得的银行存款、国债和其他具有良好流动性的金融产品，包括中央银行票据、债券回购、万能保险产品、投资连结保险产品、证券投资基金、股票，以及信用等级在投资级以上的金融债、企业（公司）债、可转换债（含分离交易可转换债）、短期融资券和中期票据等金融产品。</w:t>
      </w:r>
    </w:p>
    <w:p>
      <w:pPr>
        <w:spacing w:line="360" w:lineRule="auto"/>
        <w:ind w:firstLine="560" w:firstLineChars="200"/>
        <w:rPr>
          <w:rFonts w:hint="eastAsia" w:ascii="仿宋_GB2312" w:eastAsia="仿宋_GB2312"/>
          <w:sz w:val="28"/>
          <w:szCs w:val="28"/>
          <w:shd w:val="clear" w:color="auto" w:fill="FFFFFF"/>
        </w:rPr>
      </w:pPr>
      <w:r>
        <w:rPr>
          <w:rFonts w:hint="eastAsia" w:ascii="仿宋_GB2312" w:eastAsia="仿宋_GB2312"/>
          <w:sz w:val="28"/>
          <w:szCs w:val="28"/>
          <w:shd w:val="clear" w:color="auto" w:fill="FFFFFF"/>
        </w:rPr>
        <w:t>10.4　估值方法。</w:t>
      </w:r>
    </w:p>
    <w:p>
      <w:pPr>
        <w:spacing w:line="360" w:lineRule="auto"/>
        <w:ind w:firstLine="560" w:firstLineChars="200"/>
        <w:rPr>
          <w:rFonts w:hint="eastAsia" w:ascii="仿宋_GB2312" w:eastAsia="仿宋_GB2312"/>
          <w:sz w:val="28"/>
          <w:szCs w:val="28"/>
          <w:shd w:val="clear" w:color="auto" w:fill="FFFFFF"/>
        </w:rPr>
      </w:pPr>
      <w:r>
        <w:rPr>
          <w:rFonts w:hint="eastAsia" w:ascii="仿宋_GB2312" w:eastAsia="仿宋_GB2312"/>
          <w:sz w:val="28"/>
          <w:szCs w:val="28"/>
          <w:shd w:val="clear" w:color="auto" w:fill="FFFFFF"/>
        </w:rPr>
        <w:t>10.4.1  证券交易所上市的有价证券的估值。</w:t>
      </w:r>
    </w:p>
    <w:p>
      <w:pPr>
        <w:spacing w:line="360" w:lineRule="auto"/>
        <w:ind w:firstLine="560" w:firstLineChars="200"/>
        <w:rPr>
          <w:rFonts w:hint="eastAsia" w:ascii="仿宋_GB2312" w:eastAsia="仿宋_GB2312"/>
          <w:sz w:val="28"/>
          <w:szCs w:val="28"/>
          <w:shd w:val="clear" w:color="auto" w:fill="FFFFFF"/>
        </w:rPr>
      </w:pPr>
      <w:r>
        <w:rPr>
          <w:rFonts w:hint="eastAsia" w:ascii="仿宋_GB2312" w:eastAsia="仿宋_GB2312"/>
          <w:sz w:val="28"/>
          <w:szCs w:val="28"/>
          <w:shd w:val="clear" w:color="auto" w:fill="FFFFFF"/>
        </w:rPr>
        <w:t>10.4.1.1  交易所上市的有价证券（包括股票、权证和基金等），以其估值日在证券交易所挂牌的收盘价估值。估值日无交易的，且最近交易日后经济环境未发生重大变化，以最近交易日的收盘价估值。如最近交易日后经济环境发生重大变化的，可参考类似投资品种的现行市价及重大变化因素，调整最近交易市价，确定公允价格。</w:t>
      </w:r>
    </w:p>
    <w:p>
      <w:pPr>
        <w:spacing w:line="360" w:lineRule="auto"/>
        <w:ind w:firstLine="560" w:firstLineChars="200"/>
        <w:rPr>
          <w:rFonts w:hint="eastAsia" w:ascii="仿宋_GB2312" w:eastAsia="仿宋_GB2312"/>
          <w:sz w:val="28"/>
          <w:szCs w:val="28"/>
          <w:shd w:val="clear" w:color="auto" w:fill="FFFFFF"/>
        </w:rPr>
      </w:pPr>
      <w:r>
        <w:rPr>
          <w:rFonts w:hint="eastAsia" w:ascii="仿宋_GB2312" w:eastAsia="仿宋_GB2312"/>
          <w:sz w:val="28"/>
          <w:szCs w:val="28"/>
          <w:shd w:val="clear" w:color="auto" w:fill="FFFFFF"/>
        </w:rPr>
        <w:t>10.4.1.2  交易所上市实行净价交易的债券按估值日收盘价估值，估值日没有交易的，且最近交易日后经济环境未发生重大变化，按最近交易日的收盘价估值。如最近交易日后经济环境发生了重大变化的，可参考类似投资品种的现行市价及重大变化因素，调整最近交易市价，确定公允价格。</w:t>
      </w:r>
    </w:p>
    <w:p>
      <w:pPr>
        <w:spacing w:line="360" w:lineRule="auto"/>
        <w:ind w:firstLine="560" w:firstLineChars="200"/>
        <w:rPr>
          <w:rFonts w:hint="eastAsia" w:ascii="仿宋_GB2312" w:eastAsia="仿宋_GB2312"/>
          <w:sz w:val="28"/>
          <w:szCs w:val="28"/>
          <w:shd w:val="clear" w:color="auto" w:fill="FFFFFF"/>
        </w:rPr>
      </w:pPr>
      <w:r>
        <w:rPr>
          <w:rFonts w:hint="eastAsia" w:ascii="仿宋_GB2312" w:eastAsia="仿宋_GB2312"/>
          <w:sz w:val="28"/>
          <w:szCs w:val="28"/>
          <w:shd w:val="clear" w:color="auto" w:fill="FFFFFF"/>
        </w:rPr>
        <w:t>10.4.1.3  交易所上市未实行净价交易的债券按估值日收盘价减去债券收盘价中所含的债券应收利息得到的净价进行估值。估值日没有交易的，且最近交易日后经济环境未发生重大变化的，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pPr>
        <w:spacing w:line="360" w:lineRule="auto"/>
        <w:ind w:firstLine="560" w:firstLineChars="200"/>
        <w:rPr>
          <w:rFonts w:hint="eastAsia" w:ascii="仿宋_GB2312" w:eastAsia="仿宋_GB2312"/>
          <w:sz w:val="28"/>
          <w:szCs w:val="28"/>
          <w:shd w:val="clear" w:color="auto" w:fill="FFFFFF"/>
        </w:rPr>
      </w:pPr>
      <w:r>
        <w:rPr>
          <w:rFonts w:hint="eastAsia" w:ascii="仿宋_GB2312" w:eastAsia="仿宋_GB2312"/>
          <w:sz w:val="28"/>
          <w:szCs w:val="28"/>
          <w:shd w:val="clear" w:color="auto" w:fill="FFFFFF"/>
        </w:rPr>
        <w:t>10.4.1.4  交易所上市不存在活跃市场的有价证券，采用估值技术确定公允价值。在估值技术难以可靠计量公允价值的情况下，按成本估值。</w:t>
      </w:r>
    </w:p>
    <w:p>
      <w:pPr>
        <w:spacing w:line="360" w:lineRule="auto"/>
        <w:ind w:firstLine="560" w:firstLineChars="200"/>
        <w:rPr>
          <w:rFonts w:hint="eastAsia" w:ascii="仿宋_GB2312" w:eastAsia="仿宋_GB2312"/>
          <w:sz w:val="28"/>
          <w:szCs w:val="28"/>
          <w:shd w:val="clear" w:color="auto" w:fill="FFFFFF"/>
        </w:rPr>
      </w:pPr>
      <w:r>
        <w:rPr>
          <w:rFonts w:hint="eastAsia" w:ascii="仿宋_GB2312" w:eastAsia="仿宋_GB2312"/>
          <w:sz w:val="28"/>
          <w:szCs w:val="28"/>
          <w:shd w:val="clear" w:color="auto" w:fill="FFFFFF"/>
        </w:rPr>
        <w:t>10.4.2处于未上市期间的有价证券的估值：</w:t>
      </w:r>
    </w:p>
    <w:p>
      <w:pPr>
        <w:spacing w:line="360" w:lineRule="auto"/>
        <w:ind w:firstLine="560" w:firstLineChars="200"/>
        <w:rPr>
          <w:rFonts w:hint="eastAsia" w:ascii="仿宋_GB2312" w:eastAsia="仿宋_GB2312"/>
          <w:sz w:val="28"/>
          <w:szCs w:val="28"/>
          <w:shd w:val="clear" w:color="auto" w:fill="FFFFFF"/>
        </w:rPr>
      </w:pPr>
      <w:r>
        <w:rPr>
          <w:rFonts w:hint="eastAsia" w:ascii="仿宋_GB2312" w:eastAsia="仿宋_GB2312"/>
          <w:sz w:val="28"/>
          <w:szCs w:val="28"/>
          <w:shd w:val="clear" w:color="auto" w:fill="FFFFFF"/>
        </w:rPr>
        <w:t xml:space="preserve">10.4.2.1送股、转增股、配股和公开增发的新股，按估值日在证券交易所挂牌的同一股票的市价（收盘价）估值。该日无交易的，以最近一日的市价（收盘价）估值。 </w:t>
      </w:r>
    </w:p>
    <w:p>
      <w:pPr>
        <w:spacing w:line="360" w:lineRule="auto"/>
        <w:ind w:firstLine="560" w:firstLineChars="200"/>
        <w:rPr>
          <w:rFonts w:hint="eastAsia" w:ascii="仿宋_GB2312" w:eastAsia="仿宋_GB2312"/>
          <w:sz w:val="28"/>
          <w:szCs w:val="28"/>
          <w:shd w:val="clear" w:color="auto" w:fill="FFFFFF"/>
        </w:rPr>
      </w:pPr>
      <w:r>
        <w:rPr>
          <w:rFonts w:hint="eastAsia" w:ascii="仿宋_GB2312" w:eastAsia="仿宋_GB2312"/>
          <w:sz w:val="28"/>
          <w:szCs w:val="28"/>
          <w:shd w:val="clear" w:color="auto" w:fill="FFFFFF"/>
        </w:rPr>
        <w:t xml:space="preserve">10.4.2.2首次公开发行未上市的股票、债券和权证，采用估值技术确定公允价值，在估值技术难以可靠计量公允价值的情况下，按成本估值。 </w:t>
      </w:r>
    </w:p>
    <w:p>
      <w:pPr>
        <w:spacing w:line="360" w:lineRule="auto"/>
        <w:ind w:firstLine="560" w:firstLineChars="200"/>
        <w:rPr>
          <w:rFonts w:hint="eastAsia" w:ascii="仿宋_GB2312" w:eastAsia="仿宋_GB2312"/>
          <w:sz w:val="28"/>
          <w:szCs w:val="28"/>
          <w:shd w:val="clear" w:color="auto" w:fill="FFFFFF"/>
        </w:rPr>
      </w:pPr>
      <w:r>
        <w:rPr>
          <w:rFonts w:hint="eastAsia" w:ascii="仿宋_GB2312" w:eastAsia="仿宋_GB2312"/>
          <w:sz w:val="28"/>
          <w:szCs w:val="28"/>
          <w:shd w:val="clear" w:color="auto" w:fill="FFFFFF"/>
        </w:rPr>
        <w:t>10.4.2.3首次公开发行有明确锁定期的股票，同一股票在交易所上市后，按交易所上市的同一股票的市价（收盘价）估值。非公开发行有明确锁定期的股票，按监管机构或行业协会有关规定确定公允价值。</w:t>
      </w:r>
    </w:p>
    <w:p>
      <w:pPr>
        <w:spacing w:line="360" w:lineRule="auto"/>
        <w:ind w:firstLine="560" w:firstLineChars="200"/>
        <w:rPr>
          <w:rFonts w:hint="eastAsia" w:ascii="仿宋_GB2312" w:eastAsia="仿宋_GB2312"/>
          <w:sz w:val="28"/>
          <w:szCs w:val="28"/>
          <w:shd w:val="clear" w:color="auto" w:fill="FFFFFF"/>
        </w:rPr>
      </w:pPr>
      <w:r>
        <w:rPr>
          <w:rFonts w:hint="eastAsia" w:ascii="仿宋_GB2312" w:eastAsia="仿宋_GB2312"/>
          <w:sz w:val="28"/>
          <w:szCs w:val="28"/>
          <w:shd w:val="clear" w:color="auto" w:fill="FFFFFF"/>
        </w:rPr>
        <w:t>10.4.3  全国银行间债券市场交易的债券、资产支持证券等固定收益品种，采用估值技术确定公允价值。</w:t>
      </w:r>
    </w:p>
    <w:p>
      <w:pPr>
        <w:spacing w:line="360" w:lineRule="auto"/>
        <w:ind w:firstLine="560" w:firstLineChars="200"/>
        <w:rPr>
          <w:rFonts w:hint="eastAsia" w:ascii="仿宋_GB2312" w:eastAsia="仿宋_GB2312"/>
          <w:sz w:val="28"/>
          <w:szCs w:val="28"/>
          <w:shd w:val="clear" w:color="auto" w:fill="FFFFFF"/>
        </w:rPr>
      </w:pPr>
      <w:r>
        <w:rPr>
          <w:rFonts w:hint="eastAsia" w:ascii="仿宋_GB2312" w:eastAsia="仿宋_GB2312"/>
          <w:sz w:val="28"/>
          <w:szCs w:val="28"/>
          <w:shd w:val="clear" w:color="auto" w:fill="FFFFFF"/>
        </w:rPr>
        <w:t>10.4.4  因持有股票而享有的配股权，采用估值技术确定公允价值，在估值技术难以可靠计量公允价值的情况下，按成本估值。</w:t>
      </w:r>
    </w:p>
    <w:p>
      <w:pPr>
        <w:spacing w:line="360" w:lineRule="auto"/>
        <w:ind w:firstLine="560" w:firstLineChars="200"/>
        <w:rPr>
          <w:rFonts w:hint="eastAsia" w:ascii="仿宋_GB2312" w:eastAsia="仿宋_GB2312"/>
          <w:sz w:val="28"/>
          <w:szCs w:val="28"/>
          <w:shd w:val="clear" w:color="auto" w:fill="FFFFFF"/>
        </w:rPr>
      </w:pPr>
      <w:r>
        <w:rPr>
          <w:rFonts w:hint="eastAsia" w:ascii="仿宋_GB2312" w:eastAsia="仿宋_GB2312"/>
          <w:sz w:val="28"/>
          <w:szCs w:val="28"/>
          <w:shd w:val="clear" w:color="auto" w:fill="FFFFFF"/>
        </w:rPr>
        <w:t>10.4.5  同一债券同时在两个或两个以上市场交易的，按债券所处的市场分别估值。</w:t>
      </w:r>
    </w:p>
    <w:p>
      <w:pPr>
        <w:spacing w:line="360" w:lineRule="auto"/>
        <w:ind w:firstLine="560" w:firstLineChars="200"/>
        <w:rPr>
          <w:rFonts w:hint="eastAsia" w:ascii="仿宋_GB2312" w:eastAsia="仿宋_GB2312"/>
          <w:sz w:val="28"/>
          <w:szCs w:val="28"/>
          <w:shd w:val="clear" w:color="auto" w:fill="FFFFFF"/>
        </w:rPr>
      </w:pPr>
      <w:r>
        <w:rPr>
          <w:rFonts w:hint="eastAsia" w:ascii="仿宋_GB2312" w:eastAsia="仿宋_GB2312"/>
          <w:sz w:val="28"/>
          <w:szCs w:val="28"/>
          <w:shd w:val="clear" w:color="auto" w:fill="FFFFFF"/>
        </w:rPr>
        <w:t>10.4.6  开放式基金（包括托管在场外的上市开放式基金（LOF））以估值日前一工作日基金净值或每万份收益估值，估值日前一工作日开放式基金份额净值或每万份收益未公布的，以此前最近一个工作日基金份额净值或每万份收益计算。</w:t>
      </w:r>
    </w:p>
    <w:p>
      <w:pPr>
        <w:spacing w:line="360" w:lineRule="auto"/>
        <w:ind w:firstLine="560" w:firstLineChars="200"/>
        <w:rPr>
          <w:rFonts w:hint="eastAsia" w:ascii="仿宋_GB2312" w:eastAsia="仿宋_GB2312"/>
          <w:sz w:val="28"/>
          <w:szCs w:val="28"/>
          <w:shd w:val="clear" w:color="auto" w:fill="FFFFFF"/>
        </w:rPr>
      </w:pPr>
      <w:r>
        <w:rPr>
          <w:rFonts w:hint="eastAsia" w:ascii="仿宋_GB2312" w:eastAsia="仿宋_GB2312"/>
          <w:sz w:val="28"/>
          <w:szCs w:val="28"/>
          <w:shd w:val="clear" w:color="auto" w:fill="FFFFFF"/>
        </w:rPr>
        <w:t>10.4.7  如有确凿证据表明按上述方法进行估值不能客观反映其公允价值的，乙方可根据具体情况与托管人商定后，按最能反映公允价值的价格估值。</w:t>
      </w:r>
    </w:p>
    <w:p>
      <w:pPr>
        <w:spacing w:line="360" w:lineRule="auto"/>
        <w:ind w:firstLine="560" w:firstLineChars="200"/>
        <w:rPr>
          <w:rFonts w:hint="eastAsia" w:ascii="仿宋_GB2312" w:eastAsia="仿宋_GB2312"/>
          <w:sz w:val="28"/>
          <w:szCs w:val="28"/>
          <w:shd w:val="clear" w:color="auto" w:fill="FFFFFF"/>
        </w:rPr>
      </w:pPr>
      <w:r>
        <w:rPr>
          <w:rFonts w:hint="eastAsia" w:ascii="仿宋_GB2312" w:eastAsia="仿宋_GB2312"/>
          <w:sz w:val="28"/>
          <w:szCs w:val="28"/>
          <w:shd w:val="clear" w:color="auto" w:fill="FFFFFF"/>
        </w:rPr>
        <w:t>10.4.8  相关法律法规和监管部门有强制规定的，从其规定。如有新增事项，按国家最新规定估值。</w:t>
      </w:r>
    </w:p>
    <w:p>
      <w:pPr>
        <w:spacing w:line="360" w:lineRule="auto"/>
        <w:ind w:firstLine="560" w:firstLineChars="200"/>
        <w:rPr>
          <w:rFonts w:hint="eastAsia" w:ascii="仿宋_GB2312" w:hAnsi="宋体" w:eastAsia="仿宋_GB2312"/>
          <w:color w:val="000000"/>
          <w:sz w:val="28"/>
          <w:szCs w:val="28"/>
          <w:shd w:val="clear" w:color="auto" w:fill="FFFFFF"/>
        </w:rPr>
      </w:pPr>
      <w:r>
        <w:rPr>
          <w:rFonts w:hint="eastAsia" w:ascii="仿宋_GB2312" w:eastAsia="仿宋_GB2312"/>
          <w:sz w:val="28"/>
          <w:szCs w:val="28"/>
          <w:shd w:val="clear" w:color="auto" w:fill="FFFFFF"/>
        </w:rPr>
        <w:t>10</w:t>
      </w:r>
      <w:r>
        <w:rPr>
          <w:rFonts w:hint="eastAsia" w:ascii="仿宋_GB2312" w:hAnsi="宋体" w:eastAsia="仿宋_GB2312"/>
          <w:color w:val="000000"/>
          <w:sz w:val="28"/>
          <w:szCs w:val="28"/>
          <w:shd w:val="clear" w:color="auto" w:fill="FFFFFF"/>
        </w:rPr>
        <w:t xml:space="preserve">.4.9  </w:t>
      </w:r>
      <w:r>
        <w:rPr>
          <w:rFonts w:hint="eastAsia" w:ascii="仿宋_GB2312" w:eastAsia="仿宋_GB2312"/>
          <w:sz w:val="28"/>
          <w:szCs w:val="28"/>
          <w:shd w:val="clear" w:color="auto" w:fill="FFFFFF"/>
        </w:rPr>
        <w:t>当乙方与托管人对委托投资资产估值出现不一致</w:t>
      </w:r>
      <w:r>
        <w:rPr>
          <w:rFonts w:hint="eastAsia" w:ascii="仿宋_GB2312" w:hAnsi="宋体" w:eastAsia="仿宋_GB2312"/>
          <w:color w:val="000000"/>
          <w:sz w:val="28"/>
          <w:szCs w:val="28"/>
          <w:shd w:val="clear" w:color="auto" w:fill="FFFFFF"/>
        </w:rPr>
        <w:t>，</w:t>
      </w:r>
      <w:r>
        <w:rPr>
          <w:rFonts w:hint="eastAsia" w:ascii="仿宋_GB2312" w:eastAsia="仿宋_GB2312"/>
          <w:sz w:val="28"/>
          <w:szCs w:val="28"/>
          <w:shd w:val="clear" w:color="auto" w:fill="FFFFFF"/>
        </w:rPr>
        <w:t>双方应当查明原因，并做相应调整。</w:t>
      </w:r>
      <w:r>
        <w:rPr>
          <w:rFonts w:hint="eastAsia" w:ascii="仿宋_GB2312" w:hAnsi="宋体" w:eastAsia="仿宋_GB2312"/>
          <w:color w:val="000000"/>
          <w:sz w:val="28"/>
          <w:szCs w:val="28"/>
          <w:shd w:val="clear" w:color="auto" w:fill="FFFFFF"/>
        </w:rPr>
        <w:t>如协商</w:t>
      </w:r>
      <w:r>
        <w:rPr>
          <w:rFonts w:hint="eastAsia" w:ascii="仿宋_GB2312" w:eastAsia="仿宋_GB2312"/>
          <w:sz w:val="28"/>
          <w:szCs w:val="28"/>
          <w:shd w:val="clear" w:color="auto" w:fill="FFFFFF"/>
        </w:rPr>
        <w:t>无法达成一致意见，以托管人估值结果为准。</w:t>
      </w:r>
    </w:p>
    <w:p>
      <w:pPr>
        <w:pStyle w:val="2"/>
        <w:jc w:val="center"/>
        <w:rPr>
          <w:rFonts w:hint="eastAsia" w:ascii="黑体" w:hAnsi="黑体" w:eastAsia="黑体"/>
          <w:b w:val="0"/>
          <w:sz w:val="28"/>
          <w:szCs w:val="28"/>
          <w:shd w:val="clear" w:color="auto" w:fill="FFFFFF"/>
        </w:rPr>
      </w:pPr>
      <w:bookmarkStart w:id="18" w:name="_Toc319934290"/>
      <w:r>
        <w:rPr>
          <w:rFonts w:hint="eastAsia" w:ascii="黑体" w:hAnsi="黑体" w:eastAsia="黑体"/>
          <w:b w:val="0"/>
          <w:sz w:val="28"/>
          <w:szCs w:val="28"/>
          <w:shd w:val="clear" w:color="auto" w:fill="FFFFFF"/>
        </w:rPr>
        <w:t xml:space="preserve">第十一章  </w:t>
      </w:r>
      <w:r>
        <w:rPr>
          <w:rStyle w:val="17"/>
          <w:rFonts w:hint="eastAsia" w:ascii="黑体" w:hAnsi="宋体" w:eastAsia="黑体"/>
          <w:sz w:val="28"/>
          <w:szCs w:val="28"/>
          <w:shd w:val="clear" w:color="auto" w:fill="FFFFFF"/>
        </w:rPr>
        <w:t>投资管理费与其他费用</w:t>
      </w:r>
      <w:bookmarkEnd w:id="18"/>
    </w:p>
    <w:p>
      <w:pPr>
        <w:spacing w:line="360" w:lineRule="auto"/>
        <w:ind w:firstLine="560" w:firstLineChars="200"/>
        <w:rPr>
          <w:rFonts w:hint="eastAsia" w:ascii="仿宋_GB2312" w:eastAsia="仿宋_GB2312"/>
          <w:bCs/>
          <w:sz w:val="28"/>
          <w:szCs w:val="28"/>
          <w:shd w:val="clear" w:color="auto" w:fill="FFFFFF"/>
        </w:rPr>
      </w:pPr>
      <w:r>
        <w:rPr>
          <w:rFonts w:hint="eastAsia" w:ascii="仿宋_GB2312" w:eastAsia="仿宋_GB2312"/>
          <w:bCs/>
          <w:sz w:val="28"/>
          <w:szCs w:val="28"/>
          <w:shd w:val="clear" w:color="auto" w:fill="FFFFFF"/>
        </w:rPr>
        <w:t>11.1  投资管理费计提和支付可以采取两种模式。一是固定投资管理费模式，二是基本管理费加业绩报酬模式。本合同约定，委托投资资产投资管理费的计提和支付按照第</w:t>
      </w:r>
      <w:r>
        <w:rPr>
          <w:rFonts w:hint="eastAsia" w:ascii="仿宋_GB2312" w:eastAsia="仿宋_GB2312"/>
          <w:bCs/>
          <w:sz w:val="28"/>
          <w:szCs w:val="28"/>
          <w:u w:val="single"/>
          <w:shd w:val="clear" w:color="auto" w:fill="FFFFFF"/>
        </w:rPr>
        <w:t xml:space="preserve">   </w:t>
      </w:r>
      <w:r>
        <w:rPr>
          <w:rFonts w:hint="eastAsia" w:ascii="仿宋_GB2312" w:eastAsia="仿宋_GB2312"/>
          <w:bCs/>
          <w:sz w:val="28"/>
          <w:szCs w:val="28"/>
          <w:shd w:val="clear" w:color="auto" w:fill="FFFFFF"/>
        </w:rPr>
        <w:t>款的模式执行。</w:t>
      </w:r>
    </w:p>
    <w:p>
      <w:pPr>
        <w:spacing w:line="360" w:lineRule="auto"/>
        <w:ind w:firstLine="560" w:firstLineChars="200"/>
        <w:rPr>
          <w:rFonts w:hint="eastAsia" w:ascii="仿宋_GB2312" w:eastAsia="仿宋_GB2312"/>
          <w:bCs/>
          <w:sz w:val="28"/>
          <w:szCs w:val="28"/>
          <w:shd w:val="clear" w:color="auto" w:fill="FFFFFF"/>
        </w:rPr>
      </w:pPr>
      <w:r>
        <w:rPr>
          <w:rFonts w:hint="eastAsia" w:ascii="仿宋_GB2312" w:eastAsia="仿宋_GB2312"/>
          <w:bCs/>
          <w:sz w:val="28"/>
          <w:szCs w:val="28"/>
          <w:shd w:val="clear" w:color="auto" w:fill="FFFFFF"/>
        </w:rPr>
        <w:t>11.2  固定投资管理费模式。</w:t>
      </w:r>
    </w:p>
    <w:p>
      <w:pPr>
        <w:spacing w:line="360" w:lineRule="auto"/>
        <w:ind w:firstLine="560" w:firstLineChars="200"/>
        <w:rPr>
          <w:rFonts w:hint="eastAsia" w:ascii="仿宋_GB2312" w:eastAsia="仿宋_GB2312"/>
          <w:bCs/>
          <w:sz w:val="28"/>
          <w:szCs w:val="28"/>
          <w:shd w:val="clear" w:color="auto" w:fill="FFFFFF"/>
        </w:rPr>
      </w:pPr>
      <w:r>
        <w:rPr>
          <w:rFonts w:hint="eastAsia" w:ascii="仿宋_GB2312" w:eastAsia="仿宋_GB2312"/>
          <w:bCs/>
          <w:sz w:val="28"/>
          <w:szCs w:val="28"/>
          <w:shd w:val="clear" w:color="auto" w:fill="FFFFFF"/>
        </w:rPr>
        <w:t>甲乙双方约定采用固定投资管理费模式计提和支付投资管理费。乙方按照委托投资资产的</w:t>
      </w:r>
      <w:r>
        <w:rPr>
          <w:rFonts w:hint="eastAsia" w:ascii="仿宋_GB2312" w:eastAsia="仿宋_GB2312"/>
          <w:sz w:val="28"/>
          <w:szCs w:val="28"/>
          <w:u w:val="single"/>
          <w:shd w:val="clear" w:color="auto" w:fill="FFFFFF"/>
        </w:rPr>
        <w:t xml:space="preserve">   </w:t>
      </w:r>
      <w:r>
        <w:rPr>
          <w:rFonts w:hint="eastAsia" w:ascii="仿宋_GB2312" w:eastAsia="仿宋_GB2312"/>
          <w:sz w:val="28"/>
          <w:szCs w:val="28"/>
          <w:shd w:val="clear" w:color="auto" w:fill="FFFFFF"/>
        </w:rPr>
        <w:t>%年费率计提投资管理费。</w:t>
      </w:r>
      <w:r>
        <w:rPr>
          <w:rFonts w:hint="eastAsia" w:ascii="仿宋_GB2312" w:eastAsia="仿宋_GB2312"/>
          <w:bCs/>
          <w:sz w:val="28"/>
          <w:szCs w:val="28"/>
          <w:shd w:val="clear" w:color="auto" w:fill="FFFFFF"/>
        </w:rPr>
        <w:t>投资管理费从委托投资资产中支付，乙方每年收取的投资管理费不得超过企业年金基金资产净值的1.2％。</w:t>
      </w:r>
    </w:p>
    <w:p>
      <w:pPr>
        <w:spacing w:line="360" w:lineRule="auto"/>
        <w:ind w:firstLine="560" w:firstLineChars="200"/>
        <w:rPr>
          <w:rFonts w:hint="eastAsia" w:ascii="仿宋_GB2312" w:eastAsia="仿宋_GB2312"/>
          <w:sz w:val="28"/>
          <w:szCs w:val="28"/>
          <w:shd w:val="clear" w:color="auto" w:fill="FFFFFF"/>
        </w:rPr>
      </w:pPr>
      <w:r>
        <w:rPr>
          <w:rFonts w:hint="eastAsia" w:ascii="仿宋_GB2312" w:eastAsia="仿宋_GB2312"/>
          <w:sz w:val="28"/>
          <w:szCs w:val="28"/>
          <w:shd w:val="clear" w:color="auto" w:fill="FFFFFF"/>
        </w:rPr>
        <w:t>11.2.1  固定投资管理费的计提。</w:t>
      </w:r>
    </w:p>
    <w:p>
      <w:pPr>
        <w:spacing w:line="360" w:lineRule="auto"/>
        <w:ind w:firstLine="532" w:firstLineChars="190"/>
        <w:rPr>
          <w:rFonts w:hint="eastAsia" w:ascii="仿宋_GB2312" w:eastAsia="仿宋_GB2312"/>
          <w:sz w:val="28"/>
          <w:szCs w:val="28"/>
          <w:shd w:val="clear" w:color="auto" w:fill="FFFFFF"/>
        </w:rPr>
      </w:pPr>
      <w:r>
        <w:rPr>
          <w:rFonts w:hint="eastAsia" w:ascii="仿宋_GB2312" w:hAnsi="宋体" w:eastAsia="仿宋_GB2312"/>
          <w:sz w:val="28"/>
          <w:szCs w:val="28"/>
          <w:shd w:val="clear" w:color="auto" w:fill="FFFFFF"/>
        </w:rPr>
        <w:t>固定投资管理费按日计提，逐日累计。每日计提的固定投资管理费计算方法如下：</w:t>
      </w:r>
      <w:r>
        <w:rPr>
          <w:rFonts w:hint="eastAsia" w:ascii="仿宋_GB2312" w:eastAsia="仿宋_GB2312"/>
          <w:sz w:val="28"/>
          <w:szCs w:val="28"/>
          <w:shd w:val="clear" w:color="auto" w:fill="FFFFFF"/>
        </w:rPr>
        <w:t>I=E×U/当年实际天数</w:t>
      </w:r>
    </w:p>
    <w:p>
      <w:pPr>
        <w:spacing w:line="360" w:lineRule="auto"/>
        <w:ind w:firstLine="532" w:firstLineChars="190"/>
        <w:rPr>
          <w:rFonts w:hint="eastAsia" w:ascii="仿宋_GB2312" w:eastAsia="仿宋_GB2312"/>
          <w:sz w:val="28"/>
          <w:szCs w:val="28"/>
          <w:shd w:val="clear" w:color="auto" w:fill="FFFFFF"/>
        </w:rPr>
      </w:pPr>
      <w:r>
        <w:rPr>
          <w:rFonts w:hint="eastAsia" w:ascii="仿宋_GB2312" w:eastAsia="仿宋_GB2312"/>
          <w:sz w:val="28"/>
          <w:szCs w:val="28"/>
          <w:shd w:val="clear" w:color="auto" w:fill="FFFFFF"/>
        </w:rPr>
        <w:t>I：每日应计提的固定投资管理费；</w:t>
      </w:r>
    </w:p>
    <w:p>
      <w:pPr>
        <w:spacing w:line="360" w:lineRule="auto"/>
        <w:ind w:firstLine="532" w:firstLineChars="190"/>
        <w:rPr>
          <w:rFonts w:hint="eastAsia" w:ascii="仿宋_GB2312" w:eastAsia="仿宋_GB2312"/>
          <w:sz w:val="28"/>
          <w:szCs w:val="28"/>
          <w:shd w:val="clear" w:color="auto" w:fill="FFFFFF"/>
        </w:rPr>
      </w:pPr>
      <w:r>
        <w:rPr>
          <w:rFonts w:hint="eastAsia" w:ascii="仿宋_GB2312" w:eastAsia="仿宋_GB2312"/>
          <w:sz w:val="28"/>
          <w:szCs w:val="28"/>
          <w:shd w:val="clear" w:color="auto" w:fill="FFFFFF"/>
        </w:rPr>
        <w:t>E：前一日投资管理的企业年金基金财产净值（首日按照当日资产计提或首日不计提）；</w:t>
      </w:r>
    </w:p>
    <w:p>
      <w:pPr>
        <w:spacing w:line="360" w:lineRule="auto"/>
        <w:ind w:firstLine="532" w:firstLineChars="190"/>
        <w:rPr>
          <w:rFonts w:hint="eastAsia" w:ascii="仿宋_GB2312" w:eastAsia="仿宋_GB2312"/>
          <w:sz w:val="28"/>
          <w:szCs w:val="28"/>
          <w:shd w:val="clear" w:color="auto" w:fill="FFFFFF"/>
        </w:rPr>
      </w:pPr>
      <w:r>
        <w:rPr>
          <w:rFonts w:hint="eastAsia" w:ascii="仿宋_GB2312" w:eastAsia="仿宋_GB2312"/>
          <w:sz w:val="28"/>
          <w:szCs w:val="28"/>
          <w:shd w:val="clear" w:color="auto" w:fill="FFFFFF"/>
        </w:rPr>
        <w:t>U：本合同约定的固定投资管理费年费率。</w:t>
      </w:r>
    </w:p>
    <w:p>
      <w:pPr>
        <w:spacing w:line="360" w:lineRule="auto"/>
        <w:ind w:firstLine="560" w:firstLineChars="200"/>
        <w:rPr>
          <w:rFonts w:hint="eastAsia" w:ascii="仿宋_GB2312" w:eastAsia="仿宋_GB2312"/>
          <w:sz w:val="28"/>
          <w:szCs w:val="28"/>
          <w:shd w:val="clear" w:color="auto" w:fill="FFFFFF"/>
        </w:rPr>
      </w:pPr>
      <w:r>
        <w:rPr>
          <w:rFonts w:hint="eastAsia" w:ascii="仿宋_GB2312" w:eastAsia="仿宋_GB2312"/>
          <w:sz w:val="28"/>
          <w:szCs w:val="28"/>
          <w:shd w:val="clear" w:color="auto" w:fill="FFFFFF"/>
        </w:rPr>
        <w:t>11.2.2  固定投资管理费的支付。</w:t>
      </w:r>
    </w:p>
    <w:p>
      <w:pPr>
        <w:spacing w:line="360" w:lineRule="auto"/>
        <w:ind w:firstLine="560" w:firstLineChars="200"/>
        <w:rPr>
          <w:rFonts w:hint="eastAsia" w:ascii="仿宋_GB2312" w:hAnsi="宋体" w:eastAsia="仿宋_GB2312"/>
          <w:sz w:val="28"/>
          <w:szCs w:val="28"/>
          <w:shd w:val="clear" w:color="auto" w:fill="FFFFFF"/>
        </w:rPr>
      </w:pPr>
      <w:r>
        <w:rPr>
          <w:rFonts w:hint="eastAsia" w:ascii="仿宋_GB2312" w:hAnsi="宋体" w:eastAsia="仿宋_GB2312"/>
          <w:sz w:val="28"/>
          <w:szCs w:val="28"/>
          <w:shd w:val="clear" w:color="auto" w:fill="FFFFFF"/>
        </w:rPr>
        <w:t>固定投资管理费按季支付。每季度结束或合同终止后</w:t>
      </w:r>
      <w:r>
        <w:rPr>
          <w:rFonts w:hint="eastAsia" w:ascii="仿宋_GB2312" w:hAnsi="宋体" w:eastAsia="仿宋_GB2312"/>
          <w:sz w:val="28"/>
          <w:szCs w:val="28"/>
          <w:u w:val="single"/>
          <w:shd w:val="clear" w:color="auto" w:fill="FFFFFF"/>
        </w:rPr>
        <w:t xml:space="preserve">   </w:t>
      </w:r>
      <w:r>
        <w:rPr>
          <w:rFonts w:hint="eastAsia" w:ascii="仿宋_GB2312" w:hAnsi="宋体" w:eastAsia="仿宋_GB2312"/>
          <w:sz w:val="28"/>
          <w:szCs w:val="28"/>
          <w:shd w:val="clear" w:color="auto" w:fill="FFFFFF"/>
        </w:rPr>
        <w:t>个工作日内，乙方计算应支付的固定投资管理费并将固定投资管理费清单及计算依据发托管人复核，托管人复核后发给甲方。甲方在</w:t>
      </w:r>
      <w:r>
        <w:rPr>
          <w:rFonts w:hint="eastAsia" w:ascii="仿宋_GB2312" w:hAnsi="宋体" w:eastAsia="仿宋_GB2312"/>
          <w:sz w:val="28"/>
          <w:szCs w:val="28"/>
          <w:u w:val="single"/>
          <w:shd w:val="clear" w:color="auto" w:fill="FFFFFF"/>
        </w:rPr>
        <w:t xml:space="preserve">   </w:t>
      </w:r>
      <w:r>
        <w:rPr>
          <w:rFonts w:hint="eastAsia" w:ascii="仿宋_GB2312" w:hAnsi="宋体" w:eastAsia="仿宋_GB2312"/>
          <w:sz w:val="28"/>
          <w:szCs w:val="28"/>
          <w:shd w:val="clear" w:color="auto" w:fill="FFFFFF"/>
        </w:rPr>
        <w:t>个工作日内审核确定后，</w:t>
      </w:r>
      <w:r>
        <w:rPr>
          <w:rFonts w:hint="eastAsia" w:ascii="仿宋_GB2312" w:eastAsia="仿宋_GB2312"/>
          <w:sz w:val="28"/>
          <w:szCs w:val="28"/>
          <w:u w:val="single"/>
          <w:shd w:val="clear" w:color="auto" w:fill="FFFFFF"/>
        </w:rPr>
        <w:t xml:space="preserve">   </w:t>
      </w:r>
      <w:r>
        <w:rPr>
          <w:rFonts w:hint="eastAsia" w:ascii="仿宋_GB2312" w:hAnsi="宋体" w:eastAsia="仿宋_GB2312"/>
          <w:sz w:val="28"/>
          <w:szCs w:val="28"/>
          <w:shd w:val="clear" w:color="auto" w:fill="FFFFFF"/>
        </w:rPr>
        <w:t>个工作日内向托管人发送经乙方确认的划款指令，由托管人按划款指令从相应的委托投资资产中向乙方支付固定投资管理费，若遇公休日或法定节假日等，支付日期顺延。</w:t>
      </w:r>
    </w:p>
    <w:p>
      <w:pPr>
        <w:tabs>
          <w:tab w:val="left" w:pos="900"/>
        </w:tabs>
        <w:spacing w:before="60" w:after="60" w:line="360" w:lineRule="auto"/>
        <w:ind w:firstLine="560" w:firstLineChars="200"/>
        <w:rPr>
          <w:rFonts w:hint="eastAsia" w:ascii="仿宋_GB2312" w:hAnsi="宋体" w:eastAsia="仿宋_GB2312"/>
          <w:sz w:val="28"/>
          <w:szCs w:val="28"/>
          <w:shd w:val="clear" w:color="auto" w:fill="FFFFFF"/>
        </w:rPr>
      </w:pPr>
      <w:r>
        <w:rPr>
          <w:rFonts w:hint="eastAsia" w:ascii="仿宋_GB2312" w:hAnsi="宋体" w:eastAsia="仿宋_GB2312"/>
          <w:sz w:val="28"/>
          <w:szCs w:val="28"/>
          <w:shd w:val="clear" w:color="auto" w:fill="FFFFFF"/>
        </w:rPr>
        <w:t>11.2.3  如果企业年金基金投资运作的会计季度（成立当季或最后一季）为非完整会计季度，以当季的实际运作天数计提并支付。</w:t>
      </w:r>
    </w:p>
    <w:p>
      <w:pPr>
        <w:spacing w:line="360" w:lineRule="auto"/>
        <w:ind w:firstLine="560" w:firstLineChars="200"/>
        <w:rPr>
          <w:rFonts w:hint="eastAsia" w:ascii="仿宋_GB2312" w:eastAsia="仿宋_GB2312"/>
          <w:bCs/>
          <w:sz w:val="28"/>
          <w:szCs w:val="28"/>
          <w:shd w:val="clear" w:color="auto" w:fill="FFFFFF"/>
        </w:rPr>
      </w:pPr>
      <w:r>
        <w:rPr>
          <w:rFonts w:hint="eastAsia" w:ascii="仿宋_GB2312" w:eastAsia="仿宋_GB2312"/>
          <w:bCs/>
          <w:sz w:val="28"/>
          <w:szCs w:val="28"/>
          <w:shd w:val="clear" w:color="auto" w:fill="FFFFFF"/>
        </w:rPr>
        <w:t>11.3  基本管理费加业绩报酬模式。</w:t>
      </w:r>
    </w:p>
    <w:p>
      <w:pPr>
        <w:spacing w:line="360" w:lineRule="auto"/>
        <w:ind w:firstLine="560" w:firstLineChars="200"/>
        <w:rPr>
          <w:rFonts w:hint="eastAsia" w:ascii="仿宋_GB2312" w:eastAsia="仿宋_GB2312"/>
          <w:bCs/>
          <w:sz w:val="28"/>
          <w:szCs w:val="28"/>
          <w:shd w:val="clear" w:color="auto" w:fill="FFFFFF"/>
        </w:rPr>
      </w:pPr>
      <w:r>
        <w:rPr>
          <w:rFonts w:hint="eastAsia" w:ascii="仿宋_GB2312" w:eastAsia="仿宋_GB2312"/>
          <w:bCs/>
          <w:sz w:val="28"/>
          <w:szCs w:val="28"/>
          <w:shd w:val="clear" w:color="auto" w:fill="FFFFFF"/>
        </w:rPr>
        <w:t>甲乙双方约定采用基本管理费加业绩报酬模式计提和支付投资管理费。乙方按照委托投资资产的</w:t>
      </w:r>
      <w:r>
        <w:rPr>
          <w:rFonts w:hint="eastAsia" w:ascii="仿宋_GB2312" w:eastAsia="仿宋_GB2312"/>
          <w:sz w:val="28"/>
          <w:szCs w:val="28"/>
          <w:u w:val="single"/>
          <w:shd w:val="clear" w:color="auto" w:fill="FFFFFF"/>
        </w:rPr>
        <w:t xml:space="preserve">   </w:t>
      </w:r>
      <w:r>
        <w:rPr>
          <w:rFonts w:hint="eastAsia" w:ascii="仿宋_GB2312" w:eastAsia="仿宋_GB2312"/>
          <w:sz w:val="28"/>
          <w:szCs w:val="28"/>
          <w:shd w:val="clear" w:color="auto" w:fill="FFFFFF"/>
        </w:rPr>
        <w:t>%年费率计提基本管理费，对超出业绩比较基准的部分提取</w:t>
      </w:r>
      <w:r>
        <w:rPr>
          <w:rFonts w:hint="eastAsia" w:ascii="仿宋_GB2312" w:eastAsia="仿宋_GB2312"/>
          <w:sz w:val="28"/>
          <w:szCs w:val="28"/>
          <w:u w:val="single"/>
          <w:shd w:val="clear" w:color="auto" w:fill="FFFFFF"/>
        </w:rPr>
        <w:t xml:space="preserve">   </w:t>
      </w:r>
      <w:r>
        <w:rPr>
          <w:rFonts w:hint="eastAsia" w:ascii="仿宋_GB2312" w:eastAsia="仿宋_GB2312"/>
          <w:sz w:val="28"/>
          <w:szCs w:val="28"/>
          <w:shd w:val="clear" w:color="auto" w:fill="FFFFFF"/>
        </w:rPr>
        <w:t>%的业绩报酬。</w:t>
      </w:r>
      <w:r>
        <w:rPr>
          <w:rFonts w:hint="eastAsia" w:ascii="仿宋_GB2312" w:eastAsia="仿宋_GB2312"/>
          <w:bCs/>
          <w:sz w:val="28"/>
          <w:szCs w:val="28"/>
          <w:shd w:val="clear" w:color="auto" w:fill="FFFFFF"/>
        </w:rPr>
        <w:t>投资管理费从委托投资资产中支付，乙方每年收取的投资管理费不得超过企业年金基金资产净值的1.2％。</w:t>
      </w:r>
    </w:p>
    <w:p>
      <w:pPr>
        <w:spacing w:line="360" w:lineRule="auto"/>
        <w:ind w:firstLine="560" w:firstLineChars="200"/>
        <w:rPr>
          <w:rFonts w:hint="eastAsia" w:ascii="仿宋_GB2312" w:eastAsia="仿宋_GB2312"/>
          <w:bCs/>
          <w:sz w:val="28"/>
          <w:szCs w:val="28"/>
          <w:shd w:val="clear" w:color="auto" w:fill="FFFFFF"/>
        </w:rPr>
      </w:pPr>
      <w:r>
        <w:rPr>
          <w:rFonts w:hint="eastAsia" w:ascii="仿宋_GB2312" w:eastAsia="仿宋_GB2312"/>
          <w:bCs/>
          <w:sz w:val="28"/>
          <w:szCs w:val="28"/>
          <w:shd w:val="clear" w:color="auto" w:fill="FFFFFF"/>
        </w:rPr>
        <w:t>11.3.1 基本管理费的计提和支付。</w:t>
      </w:r>
    </w:p>
    <w:p>
      <w:pPr>
        <w:tabs>
          <w:tab w:val="left" w:pos="900"/>
        </w:tabs>
        <w:spacing w:before="60" w:after="60" w:line="360" w:lineRule="auto"/>
        <w:ind w:firstLine="560" w:firstLineChars="200"/>
        <w:rPr>
          <w:rFonts w:hint="eastAsia" w:ascii="仿宋_GB2312" w:hAnsi="宋体" w:eastAsia="仿宋_GB2312"/>
          <w:sz w:val="28"/>
          <w:szCs w:val="28"/>
          <w:shd w:val="clear" w:color="auto" w:fill="FFFFFF"/>
        </w:rPr>
      </w:pPr>
      <w:r>
        <w:rPr>
          <w:rFonts w:hint="eastAsia" w:ascii="仿宋_GB2312" w:hAnsi="宋体" w:eastAsia="仿宋_GB2312"/>
          <w:sz w:val="28"/>
          <w:szCs w:val="28"/>
          <w:shd w:val="clear" w:color="auto" w:fill="FFFFFF"/>
        </w:rPr>
        <w:t>11.3.1.1 基本管理费的计提。</w:t>
      </w:r>
    </w:p>
    <w:p>
      <w:pPr>
        <w:tabs>
          <w:tab w:val="left" w:pos="900"/>
        </w:tabs>
        <w:spacing w:before="60" w:after="60" w:line="360" w:lineRule="auto"/>
        <w:ind w:firstLine="560" w:firstLineChars="200"/>
        <w:rPr>
          <w:rFonts w:hint="eastAsia" w:ascii="仿宋_GB2312" w:hAnsi="宋体" w:eastAsia="仿宋_GB2312"/>
          <w:sz w:val="28"/>
          <w:szCs w:val="28"/>
          <w:shd w:val="clear" w:color="auto" w:fill="FFFFFF"/>
        </w:rPr>
      </w:pPr>
      <w:r>
        <w:rPr>
          <w:rFonts w:hint="eastAsia" w:ascii="仿宋_GB2312" w:hAnsi="宋体" w:eastAsia="仿宋_GB2312"/>
          <w:sz w:val="28"/>
          <w:szCs w:val="28"/>
          <w:shd w:val="clear" w:color="auto" w:fill="FFFFFF"/>
        </w:rPr>
        <w:t>基本管理费按日计提，逐日累计。每日计提的基本管理费计算方法如下：</w:t>
      </w:r>
    </w:p>
    <w:p>
      <w:pPr>
        <w:tabs>
          <w:tab w:val="left" w:pos="900"/>
        </w:tabs>
        <w:spacing w:before="60" w:after="60" w:line="360" w:lineRule="auto"/>
        <w:ind w:firstLine="560" w:firstLineChars="200"/>
        <w:rPr>
          <w:rFonts w:hint="eastAsia" w:ascii="仿宋_GB2312" w:hAnsi="宋体" w:eastAsia="仿宋_GB2312"/>
          <w:sz w:val="28"/>
          <w:szCs w:val="28"/>
          <w:shd w:val="clear" w:color="auto" w:fill="FFFFFF"/>
        </w:rPr>
      </w:pPr>
      <w:r>
        <w:rPr>
          <w:rFonts w:hint="eastAsia" w:ascii="仿宋_GB2312" w:hAnsi="宋体" w:eastAsia="仿宋_GB2312"/>
          <w:sz w:val="28"/>
          <w:szCs w:val="28"/>
          <w:shd w:val="clear" w:color="auto" w:fill="FFFFFF"/>
        </w:rPr>
        <w:t>T=E×R÷当年实际天数</w:t>
      </w:r>
    </w:p>
    <w:p>
      <w:pPr>
        <w:tabs>
          <w:tab w:val="left" w:pos="900"/>
        </w:tabs>
        <w:spacing w:before="60" w:after="60" w:line="360" w:lineRule="auto"/>
        <w:ind w:firstLine="560" w:firstLineChars="200"/>
        <w:rPr>
          <w:rFonts w:hint="eastAsia" w:ascii="仿宋_GB2312" w:hAnsi="宋体" w:eastAsia="仿宋_GB2312"/>
          <w:sz w:val="28"/>
          <w:szCs w:val="28"/>
          <w:shd w:val="clear" w:color="auto" w:fill="FFFFFF"/>
        </w:rPr>
      </w:pPr>
      <w:r>
        <w:rPr>
          <w:rFonts w:hint="eastAsia" w:ascii="仿宋_GB2312" w:hAnsi="宋体" w:eastAsia="仿宋_GB2312"/>
          <w:sz w:val="28"/>
          <w:szCs w:val="28"/>
          <w:shd w:val="clear" w:color="auto" w:fill="FFFFFF"/>
        </w:rPr>
        <w:t>T：每日应计提的基本管理费；</w:t>
      </w:r>
    </w:p>
    <w:p>
      <w:pPr>
        <w:tabs>
          <w:tab w:val="left" w:pos="900"/>
        </w:tabs>
        <w:spacing w:before="60" w:after="60" w:line="360" w:lineRule="auto"/>
        <w:ind w:firstLine="560" w:firstLineChars="200"/>
        <w:rPr>
          <w:rFonts w:hint="eastAsia" w:ascii="仿宋_GB2312" w:hAnsi="宋体" w:eastAsia="仿宋_GB2312"/>
          <w:sz w:val="28"/>
          <w:szCs w:val="28"/>
          <w:shd w:val="clear" w:color="auto" w:fill="FFFFFF"/>
        </w:rPr>
      </w:pPr>
      <w:r>
        <w:rPr>
          <w:rFonts w:hint="eastAsia" w:ascii="仿宋_GB2312" w:hAnsi="宋体" w:eastAsia="仿宋_GB2312"/>
          <w:sz w:val="28"/>
          <w:szCs w:val="28"/>
          <w:shd w:val="clear" w:color="auto" w:fill="FFFFFF"/>
        </w:rPr>
        <w:t>E：前一日委托投资资产净值</w:t>
      </w:r>
      <w:r>
        <w:rPr>
          <w:rFonts w:hint="eastAsia" w:ascii="仿宋_GB2312" w:eastAsia="仿宋_GB2312"/>
          <w:sz w:val="28"/>
          <w:szCs w:val="28"/>
          <w:shd w:val="clear" w:color="auto" w:fill="FFFFFF"/>
        </w:rPr>
        <w:t>（首日按照当日资产计提或首日不计提）</w:t>
      </w:r>
      <w:r>
        <w:rPr>
          <w:rFonts w:hint="eastAsia" w:ascii="仿宋_GB2312" w:hAnsi="宋体" w:eastAsia="仿宋_GB2312"/>
          <w:sz w:val="28"/>
          <w:szCs w:val="28"/>
          <w:shd w:val="clear" w:color="auto" w:fill="FFFFFF"/>
        </w:rPr>
        <w:t>；</w:t>
      </w:r>
    </w:p>
    <w:p>
      <w:pPr>
        <w:tabs>
          <w:tab w:val="left" w:pos="900"/>
        </w:tabs>
        <w:spacing w:before="60" w:after="60" w:line="360" w:lineRule="auto"/>
        <w:ind w:firstLine="560" w:firstLineChars="200"/>
        <w:rPr>
          <w:rFonts w:hint="eastAsia" w:ascii="仿宋_GB2312" w:hAnsi="宋体" w:eastAsia="仿宋_GB2312"/>
          <w:sz w:val="28"/>
          <w:szCs w:val="28"/>
          <w:shd w:val="clear" w:color="auto" w:fill="FFFFFF"/>
        </w:rPr>
      </w:pPr>
      <w:r>
        <w:rPr>
          <w:rFonts w:hint="eastAsia" w:ascii="仿宋_GB2312" w:hAnsi="宋体" w:eastAsia="仿宋_GB2312"/>
          <w:sz w:val="28"/>
          <w:szCs w:val="28"/>
          <w:shd w:val="clear" w:color="auto" w:fill="FFFFFF"/>
        </w:rPr>
        <w:t>R：本合同约定的基本管理费年费率。</w:t>
      </w:r>
    </w:p>
    <w:p>
      <w:pPr>
        <w:tabs>
          <w:tab w:val="left" w:pos="900"/>
        </w:tabs>
        <w:spacing w:before="60" w:after="60" w:line="360" w:lineRule="auto"/>
        <w:ind w:firstLine="560" w:firstLineChars="200"/>
        <w:rPr>
          <w:rFonts w:hint="eastAsia" w:ascii="仿宋_GB2312" w:hAnsi="宋体" w:eastAsia="仿宋_GB2312"/>
          <w:sz w:val="28"/>
          <w:szCs w:val="28"/>
          <w:shd w:val="clear" w:color="auto" w:fill="FFFFFF"/>
        </w:rPr>
      </w:pPr>
      <w:r>
        <w:rPr>
          <w:rFonts w:hint="eastAsia" w:ascii="仿宋_GB2312" w:hAnsi="宋体" w:eastAsia="仿宋_GB2312"/>
          <w:sz w:val="28"/>
          <w:szCs w:val="28"/>
          <w:shd w:val="clear" w:color="auto" w:fill="FFFFFF"/>
        </w:rPr>
        <w:t>11.3.1.2基本管理费的支付。</w:t>
      </w:r>
    </w:p>
    <w:p>
      <w:pPr>
        <w:spacing w:line="360" w:lineRule="auto"/>
        <w:ind w:firstLine="560" w:firstLineChars="200"/>
        <w:rPr>
          <w:rFonts w:hint="eastAsia" w:ascii="仿宋_GB2312" w:hAnsi="宋体" w:eastAsia="仿宋_GB2312"/>
          <w:sz w:val="28"/>
          <w:szCs w:val="28"/>
          <w:shd w:val="clear" w:color="auto" w:fill="FFFFFF"/>
        </w:rPr>
      </w:pPr>
      <w:r>
        <w:rPr>
          <w:rFonts w:hint="eastAsia" w:ascii="仿宋_GB2312" w:hAnsi="宋体" w:eastAsia="仿宋_GB2312"/>
          <w:sz w:val="28"/>
          <w:szCs w:val="28"/>
          <w:shd w:val="clear" w:color="auto" w:fill="FFFFFF"/>
        </w:rPr>
        <w:t>基本管理费按季支付。每季度结束或合同终止后</w:t>
      </w:r>
      <w:r>
        <w:rPr>
          <w:rFonts w:hint="eastAsia" w:ascii="仿宋_GB2312" w:hAnsi="宋体" w:eastAsia="仿宋_GB2312"/>
          <w:sz w:val="28"/>
          <w:szCs w:val="28"/>
          <w:u w:val="single"/>
          <w:shd w:val="clear" w:color="auto" w:fill="FFFFFF"/>
        </w:rPr>
        <w:t xml:space="preserve">   </w:t>
      </w:r>
      <w:r>
        <w:rPr>
          <w:rFonts w:hint="eastAsia" w:ascii="仿宋_GB2312" w:hAnsi="宋体" w:eastAsia="仿宋_GB2312"/>
          <w:sz w:val="28"/>
          <w:szCs w:val="28"/>
          <w:shd w:val="clear" w:color="auto" w:fill="FFFFFF"/>
        </w:rPr>
        <w:t>个工作日内，乙方计算应支付的基本管理费并将基本管理费清单及计算依据发托管人复核，托管人复核后发给甲方。甲方在</w:t>
      </w:r>
      <w:r>
        <w:rPr>
          <w:rFonts w:hint="eastAsia" w:ascii="仿宋_GB2312" w:hAnsi="宋体" w:eastAsia="仿宋_GB2312"/>
          <w:sz w:val="28"/>
          <w:szCs w:val="28"/>
          <w:u w:val="single"/>
          <w:shd w:val="clear" w:color="auto" w:fill="FFFFFF"/>
        </w:rPr>
        <w:t xml:space="preserve">   </w:t>
      </w:r>
      <w:r>
        <w:rPr>
          <w:rFonts w:hint="eastAsia" w:ascii="仿宋_GB2312" w:hAnsi="宋体" w:eastAsia="仿宋_GB2312"/>
          <w:sz w:val="28"/>
          <w:szCs w:val="28"/>
          <w:shd w:val="clear" w:color="auto" w:fill="FFFFFF"/>
        </w:rPr>
        <w:t>个工作日内审核确定后，</w:t>
      </w:r>
      <w:r>
        <w:rPr>
          <w:rFonts w:hint="eastAsia" w:ascii="仿宋_GB2312" w:eastAsia="仿宋_GB2312"/>
          <w:sz w:val="28"/>
          <w:szCs w:val="28"/>
          <w:u w:val="single"/>
          <w:shd w:val="clear" w:color="auto" w:fill="FFFFFF"/>
        </w:rPr>
        <w:t xml:space="preserve">   </w:t>
      </w:r>
      <w:r>
        <w:rPr>
          <w:rFonts w:hint="eastAsia" w:ascii="仿宋_GB2312" w:hAnsi="宋体" w:eastAsia="仿宋_GB2312"/>
          <w:sz w:val="28"/>
          <w:szCs w:val="28"/>
          <w:shd w:val="clear" w:color="auto" w:fill="FFFFFF"/>
        </w:rPr>
        <w:t>个工作日内向托管人发送经乙方确认的划款指令，由托管人按划款指令从相应的委托投资资产中向乙方支付基本管理费，若遇公休日或法定节假日等，支付日期顺延。</w:t>
      </w:r>
    </w:p>
    <w:p>
      <w:pPr>
        <w:tabs>
          <w:tab w:val="left" w:pos="900"/>
        </w:tabs>
        <w:spacing w:before="60" w:after="60" w:line="360" w:lineRule="auto"/>
        <w:ind w:firstLine="560" w:firstLineChars="200"/>
        <w:rPr>
          <w:rFonts w:hint="eastAsia" w:ascii="仿宋_GB2312" w:hAnsi="宋体" w:eastAsia="仿宋_GB2312"/>
          <w:sz w:val="28"/>
          <w:szCs w:val="28"/>
          <w:shd w:val="clear" w:color="auto" w:fill="FFFFFF"/>
        </w:rPr>
      </w:pPr>
      <w:r>
        <w:rPr>
          <w:rFonts w:hint="eastAsia" w:ascii="仿宋_GB2312" w:hAnsi="宋体" w:eastAsia="仿宋_GB2312"/>
          <w:sz w:val="28"/>
          <w:szCs w:val="28"/>
          <w:shd w:val="clear" w:color="auto" w:fill="FFFFFF"/>
        </w:rPr>
        <w:t>11.3.2 业绩报酬的计提和支付。</w:t>
      </w:r>
    </w:p>
    <w:p>
      <w:pPr>
        <w:tabs>
          <w:tab w:val="left" w:pos="900"/>
        </w:tabs>
        <w:spacing w:before="60" w:after="60" w:line="360" w:lineRule="auto"/>
        <w:ind w:firstLine="560" w:firstLineChars="200"/>
        <w:rPr>
          <w:rFonts w:hint="eastAsia" w:ascii="仿宋_GB2312" w:hAnsi="宋体" w:eastAsia="仿宋_GB2312"/>
          <w:sz w:val="28"/>
          <w:szCs w:val="28"/>
          <w:shd w:val="clear" w:color="auto" w:fill="FFFFFF"/>
        </w:rPr>
      </w:pPr>
      <w:r>
        <w:rPr>
          <w:rFonts w:hint="eastAsia" w:ascii="仿宋_GB2312" w:hAnsi="宋体" w:eastAsia="仿宋_GB2312"/>
          <w:sz w:val="28"/>
          <w:szCs w:val="28"/>
          <w:shd w:val="clear" w:color="auto" w:fill="FFFFFF"/>
        </w:rPr>
        <w:t>11.3.2.1 业绩报酬的计提。</w:t>
      </w:r>
    </w:p>
    <w:p>
      <w:pPr>
        <w:tabs>
          <w:tab w:val="left" w:pos="900"/>
        </w:tabs>
        <w:spacing w:before="60" w:after="60" w:line="360" w:lineRule="auto"/>
        <w:ind w:firstLine="560" w:firstLineChars="200"/>
        <w:rPr>
          <w:rFonts w:hint="eastAsia" w:ascii="仿宋_GB2312" w:hAnsi="宋体" w:eastAsia="仿宋_GB2312"/>
          <w:sz w:val="28"/>
          <w:szCs w:val="28"/>
          <w:shd w:val="clear" w:color="auto" w:fill="FFFFFF"/>
        </w:rPr>
      </w:pPr>
      <w:r>
        <w:rPr>
          <w:rFonts w:hint="eastAsia" w:ascii="仿宋_GB2312" w:hAnsi="宋体" w:eastAsia="仿宋_GB2312"/>
          <w:sz w:val="28"/>
          <w:szCs w:val="28"/>
          <w:shd w:val="clear" w:color="auto" w:fill="FFFFFF"/>
        </w:rPr>
        <w:t>业绩报酬按会计年度计提。每一会计年度如委托投资资产期末资产净值超过按业绩比较基准计算出的资产净值，对超过的部分按</w:t>
      </w:r>
      <w:r>
        <w:rPr>
          <w:rFonts w:hint="eastAsia" w:ascii="仿宋_GB2312" w:hAnsi="宋体" w:eastAsia="仿宋_GB2312"/>
          <w:sz w:val="28"/>
          <w:szCs w:val="28"/>
          <w:u w:val="single"/>
          <w:shd w:val="clear" w:color="auto" w:fill="FFFFFF"/>
        </w:rPr>
        <w:t xml:space="preserve">  </w:t>
      </w:r>
      <w:r>
        <w:rPr>
          <w:rFonts w:hint="eastAsia" w:ascii="仿宋_GB2312" w:hAnsi="宋体" w:eastAsia="仿宋_GB2312"/>
          <w:sz w:val="28"/>
          <w:szCs w:val="28"/>
          <w:shd w:val="clear" w:color="auto" w:fill="FFFFFF"/>
        </w:rPr>
        <w:t>%收取业绩报酬。</w:t>
      </w:r>
    </w:p>
    <w:p>
      <w:pPr>
        <w:tabs>
          <w:tab w:val="left" w:pos="900"/>
        </w:tabs>
        <w:spacing w:before="60" w:after="60" w:line="360" w:lineRule="auto"/>
        <w:ind w:firstLine="560" w:firstLineChars="200"/>
        <w:rPr>
          <w:rFonts w:hint="eastAsia" w:ascii="仿宋_GB2312" w:hAnsi="宋体" w:eastAsia="仿宋_GB2312"/>
          <w:sz w:val="28"/>
          <w:szCs w:val="28"/>
          <w:shd w:val="clear" w:color="auto" w:fill="FFFFFF"/>
        </w:rPr>
      </w:pPr>
      <w:r>
        <w:rPr>
          <w:rFonts w:hint="eastAsia" w:ascii="仿宋_GB2312" w:hAnsi="宋体" w:eastAsia="仿宋_GB2312"/>
          <w:sz w:val="28"/>
          <w:szCs w:val="28"/>
          <w:shd w:val="clear" w:color="auto" w:fill="FFFFFF"/>
        </w:rPr>
        <w:t>业绩比较基准为：</w:t>
      </w:r>
      <w:r>
        <w:rPr>
          <w:rFonts w:hint="eastAsia" w:ascii="仿宋_GB2312" w:hAnsi="宋体" w:eastAsia="仿宋_GB2312"/>
          <w:sz w:val="28"/>
          <w:szCs w:val="28"/>
          <w:u w:val="single"/>
          <w:shd w:val="clear" w:color="auto" w:fill="FFFFFF"/>
        </w:rPr>
        <w:t xml:space="preserve">         </w:t>
      </w:r>
      <w:r>
        <w:rPr>
          <w:rFonts w:hint="eastAsia" w:ascii="仿宋_GB2312" w:hAnsi="宋体" w:eastAsia="仿宋_GB2312"/>
          <w:sz w:val="28"/>
          <w:szCs w:val="28"/>
          <w:shd w:val="clear" w:color="auto" w:fill="FFFFFF"/>
        </w:rPr>
        <w:t>。</w:t>
      </w:r>
    </w:p>
    <w:p>
      <w:pPr>
        <w:tabs>
          <w:tab w:val="left" w:pos="900"/>
        </w:tabs>
        <w:spacing w:before="60" w:after="60" w:line="360" w:lineRule="auto"/>
        <w:ind w:firstLine="560" w:firstLineChars="200"/>
        <w:rPr>
          <w:rFonts w:hint="eastAsia" w:ascii="仿宋_GB2312" w:hAnsi="宋体" w:eastAsia="仿宋_GB2312"/>
          <w:sz w:val="28"/>
          <w:szCs w:val="28"/>
          <w:shd w:val="clear" w:color="auto" w:fill="FFFFFF"/>
        </w:rPr>
      </w:pPr>
      <w:r>
        <w:rPr>
          <w:rFonts w:hint="eastAsia" w:ascii="仿宋_GB2312" w:hAnsi="宋体" w:eastAsia="仿宋_GB2312"/>
          <w:sz w:val="28"/>
          <w:szCs w:val="28"/>
          <w:shd w:val="clear" w:color="auto" w:fill="FFFFFF"/>
        </w:rPr>
        <w:t>业绩报酬的计算方法如下：</w:t>
      </w:r>
    </w:p>
    <w:p>
      <w:pPr>
        <w:tabs>
          <w:tab w:val="left" w:pos="900"/>
        </w:tabs>
        <w:spacing w:before="60" w:after="60" w:line="360" w:lineRule="auto"/>
        <w:ind w:firstLine="560" w:firstLineChars="200"/>
        <w:rPr>
          <w:rFonts w:hint="eastAsia" w:ascii="仿宋_GB2312" w:eastAsia="仿宋_GB2312"/>
          <w:sz w:val="28"/>
          <w:szCs w:val="28"/>
          <w:shd w:val="clear" w:color="auto" w:fill="FFFFFF"/>
        </w:rPr>
      </w:pPr>
      <w:r>
        <w:rPr>
          <w:rFonts w:hint="eastAsia" w:ascii="仿宋_GB2312" w:hAnsi="宋体" w:eastAsia="仿宋_GB2312"/>
          <w:sz w:val="28"/>
          <w:szCs w:val="28"/>
          <w:shd w:val="clear" w:color="auto" w:fill="FFFFFF"/>
        </w:rPr>
        <w:t xml:space="preserve">业绩报酬 = </w:t>
      </w:r>
      <w:r>
        <w:rPr>
          <w:rFonts w:hint="eastAsia" w:ascii="仿宋_GB2312" w:eastAsia="仿宋_GB2312"/>
          <w:position w:val="-32"/>
          <w:sz w:val="28"/>
          <w:szCs w:val="28"/>
          <w:shd w:val="clear" w:color="auto" w:fill="FFFFFF"/>
        </w:rPr>
        <w:object>
          <v:shape id="_x0000_i1025" o:spt="75" type="#_x0000_t75" style="height:38pt;width:147pt;" o:ole="t" filled="f" o:preferrelative="t" stroked="f" coordsize="21600,21600">
            <v:path/>
            <v:fill on="f" focussize="0,0"/>
            <v:stroke on="f"/>
            <v:imagedata r:id="rId10" o:title=""/>
            <o:lock v:ext="edit" grouping="f" rotation="f" text="f" aspectratio="t"/>
            <w10:wrap type="none"/>
            <w10:anchorlock/>
          </v:shape>
          <o:OLEObject Type="Embed" ProgID="Equation.3" ShapeID="_x0000_i1025" DrawAspect="Content" ObjectID="_1468075725" r:id="rId9">
            <o:LockedField>false</o:LockedField>
          </o:OLEObject>
        </w:object>
      </w:r>
    </w:p>
    <w:p>
      <w:pPr>
        <w:tabs>
          <w:tab w:val="left" w:pos="900"/>
        </w:tabs>
        <w:spacing w:before="60" w:after="60" w:line="360" w:lineRule="auto"/>
        <w:ind w:firstLine="560" w:firstLineChars="200"/>
        <w:rPr>
          <w:rFonts w:hint="eastAsia" w:ascii="仿宋_GB2312" w:hAnsi="宋体" w:eastAsia="仿宋_GB2312"/>
          <w:sz w:val="28"/>
          <w:szCs w:val="28"/>
          <w:shd w:val="clear" w:color="auto" w:fill="FFFFFF"/>
        </w:rPr>
      </w:pPr>
      <w:r>
        <w:rPr>
          <w:rFonts w:hint="eastAsia" w:ascii="仿宋_GB2312" w:hAnsi="宋体" w:eastAsia="仿宋_GB2312"/>
          <w:sz w:val="28"/>
          <w:szCs w:val="28"/>
          <w:shd w:val="clear" w:color="auto" w:fill="FFFFFF"/>
        </w:rPr>
        <w:t>其中：</w:t>
      </w:r>
    </w:p>
    <w:p>
      <w:pPr>
        <w:tabs>
          <w:tab w:val="left" w:pos="900"/>
        </w:tabs>
        <w:spacing w:before="60" w:after="60" w:line="360" w:lineRule="auto"/>
        <w:ind w:firstLine="560" w:firstLineChars="200"/>
        <w:rPr>
          <w:rFonts w:hint="eastAsia" w:ascii="仿宋_GB2312" w:hAnsi="宋体" w:eastAsia="仿宋_GB2312"/>
          <w:sz w:val="28"/>
          <w:szCs w:val="28"/>
          <w:shd w:val="clear" w:color="auto" w:fill="FFFFFF"/>
        </w:rPr>
      </w:pPr>
      <w:r>
        <w:rPr>
          <w:rFonts w:hint="eastAsia" w:ascii="仿宋_GB2312" w:eastAsia="仿宋_GB2312"/>
          <w:sz w:val="28"/>
          <w:szCs w:val="28"/>
          <w:shd w:val="clear" w:color="auto" w:fill="FFFFFF"/>
        </w:rPr>
        <w:t>Y</w:t>
      </w:r>
      <w:r>
        <w:rPr>
          <w:rFonts w:hint="eastAsia" w:ascii="仿宋_GB2312" w:hAnsi="宋体" w:eastAsia="仿宋_GB2312"/>
          <w:sz w:val="28"/>
          <w:szCs w:val="28"/>
          <w:shd w:val="clear" w:color="auto" w:fill="FFFFFF"/>
        </w:rPr>
        <w:t>为业绩报酬的提取比例；</w:t>
      </w:r>
    </w:p>
    <w:p>
      <w:pPr>
        <w:tabs>
          <w:tab w:val="left" w:pos="900"/>
        </w:tabs>
        <w:spacing w:before="60" w:after="60" w:line="360" w:lineRule="auto"/>
        <w:ind w:left="540" w:leftChars="257"/>
        <w:rPr>
          <w:rFonts w:hint="eastAsia" w:ascii="仿宋_GB2312" w:hAnsi="宋体" w:eastAsia="仿宋_GB2312"/>
          <w:sz w:val="28"/>
          <w:szCs w:val="28"/>
          <w:shd w:val="clear" w:color="auto" w:fill="FFFFFF"/>
        </w:rPr>
      </w:pPr>
      <w:r>
        <w:rPr>
          <w:rFonts w:hint="eastAsia" w:ascii="仿宋_GB2312" w:eastAsia="仿宋_GB2312"/>
          <w:b/>
          <w:i/>
          <w:sz w:val="28"/>
          <w:szCs w:val="28"/>
          <w:shd w:val="clear" w:color="auto" w:fill="FFFFFF"/>
        </w:rPr>
        <w:t>A</w:t>
      </w:r>
      <w:r>
        <w:rPr>
          <w:rFonts w:hint="eastAsia" w:ascii="仿宋_GB2312" w:eastAsia="仿宋_GB2312"/>
          <w:i/>
          <w:sz w:val="28"/>
          <w:szCs w:val="28"/>
          <w:shd w:val="clear" w:color="auto" w:fill="FFFFFF"/>
          <w:vertAlign w:val="subscript"/>
        </w:rPr>
        <w:t>n</w:t>
      </w:r>
      <w:r>
        <w:rPr>
          <w:rFonts w:hint="eastAsia" w:ascii="仿宋_GB2312" w:hAnsi="宋体" w:eastAsia="仿宋_GB2312"/>
          <w:sz w:val="28"/>
          <w:szCs w:val="28"/>
          <w:shd w:val="clear" w:color="auto" w:fill="FFFFFF"/>
        </w:rPr>
        <w:t>为当年末委托投资资产净值；</w:t>
      </w:r>
    </w:p>
    <w:p>
      <w:pPr>
        <w:tabs>
          <w:tab w:val="left" w:pos="900"/>
        </w:tabs>
        <w:spacing w:before="60" w:after="60" w:line="360" w:lineRule="auto"/>
        <w:ind w:left="540" w:leftChars="257"/>
        <w:rPr>
          <w:rFonts w:hint="eastAsia" w:ascii="仿宋_GB2312" w:hAnsi="宋体" w:eastAsia="仿宋_GB2312"/>
          <w:sz w:val="28"/>
          <w:szCs w:val="28"/>
          <w:shd w:val="clear" w:color="auto" w:fill="FFFFFF"/>
        </w:rPr>
      </w:pPr>
      <w:r>
        <w:rPr>
          <w:rFonts w:hint="eastAsia" w:ascii="仿宋_GB2312" w:eastAsia="仿宋_GB2312"/>
          <w:b/>
          <w:i/>
          <w:sz w:val="28"/>
          <w:szCs w:val="28"/>
          <w:shd w:val="clear" w:color="auto" w:fill="FFFFFF"/>
        </w:rPr>
        <w:t>B</w:t>
      </w:r>
      <w:r>
        <w:rPr>
          <w:rFonts w:hint="eastAsia" w:ascii="仿宋_GB2312" w:eastAsia="仿宋_GB2312"/>
          <w:i/>
          <w:sz w:val="28"/>
          <w:szCs w:val="28"/>
          <w:shd w:val="clear" w:color="auto" w:fill="FFFFFF"/>
          <w:vertAlign w:val="subscript"/>
        </w:rPr>
        <w:t>n</w:t>
      </w:r>
      <w:r>
        <w:rPr>
          <w:rFonts w:hint="eastAsia" w:ascii="仿宋_GB2312" w:hAnsi="宋体" w:eastAsia="仿宋_GB2312"/>
          <w:sz w:val="28"/>
          <w:szCs w:val="28"/>
          <w:shd w:val="clear" w:color="auto" w:fill="FFFFFF"/>
        </w:rPr>
        <w:t>为当年末按业绩基准收益率计算的委托投资资产净值，其计算方法为：</w:t>
      </w:r>
    </w:p>
    <w:p>
      <w:pPr>
        <w:tabs>
          <w:tab w:val="left" w:pos="900"/>
        </w:tabs>
        <w:spacing w:before="60" w:after="60" w:line="360" w:lineRule="auto"/>
        <w:ind w:left="540" w:leftChars="257"/>
        <w:rPr>
          <w:rFonts w:hint="eastAsia" w:ascii="仿宋_GB2312" w:hAnsi="宋体" w:eastAsia="仿宋_GB2312"/>
          <w:sz w:val="28"/>
          <w:szCs w:val="28"/>
          <w:shd w:val="clear" w:color="auto" w:fill="FFFFFF"/>
        </w:rPr>
      </w:pPr>
      <w:r>
        <w:rPr>
          <w:rFonts w:hint="eastAsia" w:ascii="仿宋_GB2312" w:hAnsi="宋体" w:eastAsia="仿宋_GB2312"/>
          <w:position w:val="-32"/>
          <w:sz w:val="28"/>
          <w:szCs w:val="28"/>
          <w:shd w:val="clear" w:color="auto" w:fill="FFFFFF"/>
        </w:rPr>
        <w:object>
          <v:shape id="_x0000_i1026" o:spt="75" type="#_x0000_t75" style="height:38pt;width:180pt;" o:ole="t" filled="f" o:preferrelative="t" stroked="f" coordsize="21600,21600">
            <v:path/>
            <v:fill on="f" focussize="0,0"/>
            <v:stroke on="f"/>
            <v:imagedata r:id="rId12" o:title=""/>
            <o:lock v:ext="edit" grouping="f" rotation="f" text="f" aspectratio="t"/>
            <w10:wrap type="none"/>
            <w10:anchorlock/>
          </v:shape>
          <o:OLEObject Type="Embed" ProgID="Equation.3" ShapeID="_x0000_i1026" DrawAspect="Content" ObjectID="_1468075726" r:id="rId11">
            <o:LockedField>false</o:LockedField>
          </o:OLEObject>
        </w:object>
      </w:r>
      <w:r>
        <w:rPr>
          <w:rFonts w:hint="eastAsia" w:ascii="仿宋_GB2312" w:hAnsi="宋体" w:eastAsia="仿宋_GB2312"/>
          <w:sz w:val="28"/>
          <w:szCs w:val="28"/>
          <w:shd w:val="clear" w:color="auto" w:fill="FFFFFF"/>
        </w:rPr>
        <w:br w:type="textWrapping"/>
      </w:r>
      <w:r>
        <w:rPr>
          <w:rFonts w:hint="eastAsia" w:ascii="仿宋_GB2312" w:eastAsia="仿宋_GB2312"/>
          <w:b/>
          <w:i/>
          <w:sz w:val="28"/>
          <w:szCs w:val="28"/>
          <w:shd w:val="clear" w:color="auto" w:fill="FFFFFF"/>
        </w:rPr>
        <w:t>C</w:t>
      </w:r>
      <w:r>
        <w:rPr>
          <w:rFonts w:hint="eastAsia" w:ascii="仿宋_GB2312" w:eastAsia="仿宋_GB2312"/>
          <w:i/>
          <w:sz w:val="28"/>
          <w:szCs w:val="28"/>
          <w:shd w:val="clear" w:color="auto" w:fill="FFFFFF"/>
          <w:vertAlign w:val="subscript"/>
        </w:rPr>
        <w:t>0</w:t>
      </w:r>
      <w:r>
        <w:rPr>
          <w:rFonts w:hint="eastAsia" w:ascii="仿宋_GB2312" w:hAnsi="宋体" w:eastAsia="仿宋_GB2312"/>
          <w:sz w:val="28"/>
          <w:szCs w:val="28"/>
          <w:shd w:val="clear" w:color="auto" w:fill="FFFFFF"/>
        </w:rPr>
        <w:t>——当年年初委托投资资产净值；</w:t>
      </w:r>
    </w:p>
    <w:p>
      <w:pPr>
        <w:tabs>
          <w:tab w:val="left" w:pos="900"/>
        </w:tabs>
        <w:spacing w:before="60" w:after="60" w:line="360" w:lineRule="auto"/>
        <w:ind w:left="540" w:leftChars="257"/>
        <w:rPr>
          <w:rFonts w:hint="eastAsia" w:ascii="仿宋_GB2312" w:hAnsi="宋体" w:eastAsia="仿宋_GB2312"/>
          <w:sz w:val="28"/>
          <w:szCs w:val="28"/>
          <w:shd w:val="clear" w:color="auto" w:fill="FFFFFF"/>
        </w:rPr>
      </w:pPr>
      <w:r>
        <w:rPr>
          <w:rFonts w:hint="eastAsia" w:ascii="仿宋_GB2312" w:hAnsi="宋体" w:eastAsia="仿宋_GB2312"/>
          <w:sz w:val="28"/>
          <w:szCs w:val="28"/>
          <w:shd w:val="clear" w:color="auto" w:fill="FFFFFF"/>
        </w:rPr>
        <w:fldChar w:fldCharType="begin"/>
      </w:r>
      <w:r>
        <w:rPr>
          <w:rFonts w:hint="eastAsia" w:ascii="仿宋_GB2312" w:hAnsi="宋体" w:eastAsia="仿宋_GB2312"/>
          <w:sz w:val="28"/>
          <w:szCs w:val="28"/>
          <w:shd w:val="clear" w:color="auto" w:fill="FFFFFF"/>
        </w:rPr>
        <w:instrText xml:space="preserve"> INCLUDEPICTURE "http://mail.bankcomm.com/pwmail/errorUploadedFiles/_1_0C2BBFB40C2BBC9C000CCA82482574F7" \* MERGEFORMATINET </w:instrText>
      </w:r>
      <w:r>
        <w:rPr>
          <w:rFonts w:hint="eastAsia" w:ascii="仿宋_GB2312" w:hAnsi="宋体" w:eastAsia="仿宋_GB2312"/>
          <w:sz w:val="28"/>
          <w:szCs w:val="28"/>
          <w:shd w:val="clear" w:color="auto" w:fill="FFFFFF"/>
        </w:rPr>
        <w:fldChar w:fldCharType="separate"/>
      </w:r>
      <w:r>
        <w:rPr>
          <w:rFonts w:hint="eastAsia" w:ascii="仿宋_GB2312" w:hAnsi="宋体" w:eastAsia="仿宋_GB2312"/>
          <w:sz w:val="28"/>
          <w:szCs w:val="28"/>
          <w:shd w:val="clear" w:color="auto" w:fill="FFFFFF"/>
        </w:rPr>
        <w:drawing>
          <wp:inline distT="0" distB="0" distL="114300" distR="114300">
            <wp:extent cx="171450" cy="228600"/>
            <wp:effectExtent l="0" t="0" r="0" b="0"/>
            <wp:docPr id="1" name="图片 3" descr="_1_0C2BBFB40C2BBC9C000CCA82482574F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_1_0C2BBFB40C2BBC9C000CCA82482574F7"/>
                    <pic:cNvPicPr>
                      <a:picLocks noChangeAspect="1"/>
                    </pic:cNvPicPr>
                  </pic:nvPicPr>
                  <pic:blipFill>
                    <a:blip r:embed="rId13"/>
                    <a:stretch>
                      <a:fillRect/>
                    </a:stretch>
                  </pic:blipFill>
                  <pic:spPr>
                    <a:xfrm>
                      <a:off x="0" y="0"/>
                      <a:ext cx="171450" cy="228600"/>
                    </a:xfrm>
                    <a:prstGeom prst="rect">
                      <a:avLst/>
                    </a:prstGeom>
                    <a:noFill/>
                    <a:ln w="9525">
                      <a:noFill/>
                    </a:ln>
                  </pic:spPr>
                </pic:pic>
              </a:graphicData>
            </a:graphic>
          </wp:inline>
        </w:drawing>
      </w:r>
      <w:r>
        <w:rPr>
          <w:rFonts w:hint="eastAsia" w:ascii="仿宋_GB2312" w:hAnsi="宋体" w:eastAsia="仿宋_GB2312"/>
          <w:sz w:val="28"/>
          <w:szCs w:val="28"/>
          <w:shd w:val="clear" w:color="auto" w:fill="FFFFFF"/>
        </w:rPr>
        <w:fldChar w:fldCharType="end"/>
      </w:r>
      <w:r>
        <w:rPr>
          <w:rFonts w:hint="eastAsia" w:ascii="仿宋_GB2312" w:hAnsi="宋体" w:eastAsia="仿宋_GB2312"/>
          <w:sz w:val="28"/>
          <w:szCs w:val="28"/>
          <w:shd w:val="clear" w:color="auto" w:fill="FFFFFF"/>
        </w:rPr>
        <w:t>——第</w:t>
      </w:r>
      <w:r>
        <w:rPr>
          <w:rFonts w:hint="eastAsia" w:ascii="仿宋_GB2312" w:eastAsia="仿宋_GB2312"/>
          <w:i/>
          <w:sz w:val="28"/>
          <w:szCs w:val="28"/>
          <w:shd w:val="clear" w:color="auto" w:fill="FFFFFF"/>
        </w:rPr>
        <w:t>t</w:t>
      </w:r>
      <w:r>
        <w:rPr>
          <w:rFonts w:hint="eastAsia" w:ascii="仿宋_GB2312" w:hAnsi="宋体" w:eastAsia="仿宋_GB2312"/>
          <w:sz w:val="28"/>
          <w:szCs w:val="28"/>
          <w:shd w:val="clear" w:color="auto" w:fill="FFFFFF"/>
        </w:rPr>
        <w:t>笔现金流量净额（仅包括甲方追加或减少委托投资资产额度所产生的现金流量，不包括基金运营的资金流动，甲方追加委托投资资产时</w:t>
      </w:r>
      <w:r>
        <w:rPr>
          <w:rFonts w:hint="eastAsia" w:ascii="仿宋_GB2312" w:hAnsi="宋体" w:eastAsia="仿宋_GB2312"/>
          <w:sz w:val="28"/>
          <w:szCs w:val="28"/>
          <w:shd w:val="clear" w:color="auto" w:fill="FFFFFF"/>
        </w:rPr>
        <w:fldChar w:fldCharType="begin"/>
      </w:r>
      <w:r>
        <w:rPr>
          <w:rFonts w:hint="eastAsia" w:ascii="仿宋_GB2312" w:hAnsi="宋体" w:eastAsia="仿宋_GB2312"/>
          <w:sz w:val="28"/>
          <w:szCs w:val="28"/>
          <w:shd w:val="clear" w:color="auto" w:fill="FFFFFF"/>
        </w:rPr>
        <w:instrText xml:space="preserve"> INCLUDEPICTURE "http://mail.bankcomm.com/pwmail/errorUploadedFiles/_1_0C2BBFB40C2BBC9C000CCA82482574F7" \* MERGEFORMATINET </w:instrText>
      </w:r>
      <w:r>
        <w:rPr>
          <w:rFonts w:hint="eastAsia" w:ascii="仿宋_GB2312" w:hAnsi="宋体" w:eastAsia="仿宋_GB2312"/>
          <w:sz w:val="28"/>
          <w:szCs w:val="28"/>
          <w:shd w:val="clear" w:color="auto" w:fill="FFFFFF"/>
        </w:rPr>
        <w:fldChar w:fldCharType="separate"/>
      </w:r>
      <w:r>
        <w:rPr>
          <w:rFonts w:hint="eastAsia" w:ascii="仿宋_GB2312" w:hAnsi="宋体" w:eastAsia="仿宋_GB2312"/>
          <w:sz w:val="28"/>
          <w:szCs w:val="28"/>
          <w:shd w:val="clear" w:color="auto" w:fill="FFFFFF"/>
        </w:rPr>
        <w:drawing>
          <wp:inline distT="0" distB="0" distL="114300" distR="114300">
            <wp:extent cx="171450" cy="228600"/>
            <wp:effectExtent l="0" t="0" r="0" b="0"/>
            <wp:docPr id="2" name="图片 4" descr="_1_0C2BBFB40C2BBC9C000CCA82482574F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descr="_1_0C2BBFB40C2BBC9C000CCA82482574F7"/>
                    <pic:cNvPicPr>
                      <a:picLocks noChangeAspect="1"/>
                    </pic:cNvPicPr>
                  </pic:nvPicPr>
                  <pic:blipFill>
                    <a:blip r:embed="rId13"/>
                    <a:stretch>
                      <a:fillRect/>
                    </a:stretch>
                  </pic:blipFill>
                  <pic:spPr>
                    <a:xfrm>
                      <a:off x="0" y="0"/>
                      <a:ext cx="171450" cy="228600"/>
                    </a:xfrm>
                    <a:prstGeom prst="rect">
                      <a:avLst/>
                    </a:prstGeom>
                    <a:noFill/>
                    <a:ln w="9525">
                      <a:noFill/>
                    </a:ln>
                  </pic:spPr>
                </pic:pic>
              </a:graphicData>
            </a:graphic>
          </wp:inline>
        </w:drawing>
      </w:r>
      <w:r>
        <w:rPr>
          <w:rFonts w:hint="eastAsia" w:ascii="仿宋_GB2312" w:hAnsi="宋体" w:eastAsia="仿宋_GB2312"/>
          <w:sz w:val="28"/>
          <w:szCs w:val="28"/>
          <w:shd w:val="clear" w:color="auto" w:fill="FFFFFF"/>
        </w:rPr>
        <w:fldChar w:fldCharType="end"/>
      </w:r>
      <w:r>
        <w:rPr>
          <w:rFonts w:hint="eastAsia" w:ascii="仿宋_GB2312" w:hAnsi="宋体" w:eastAsia="仿宋_GB2312"/>
          <w:sz w:val="28"/>
          <w:szCs w:val="28"/>
          <w:shd w:val="clear" w:color="auto" w:fill="FFFFFF"/>
        </w:rPr>
        <w:t>为正值，减少委托投资资产时</w:t>
      </w:r>
      <w:r>
        <w:rPr>
          <w:rFonts w:hint="eastAsia" w:ascii="仿宋_GB2312" w:hAnsi="宋体" w:eastAsia="仿宋_GB2312"/>
          <w:sz w:val="28"/>
          <w:szCs w:val="28"/>
          <w:shd w:val="clear" w:color="auto" w:fill="FFFFFF"/>
        </w:rPr>
        <w:fldChar w:fldCharType="begin"/>
      </w:r>
      <w:r>
        <w:rPr>
          <w:rFonts w:hint="eastAsia" w:ascii="仿宋_GB2312" w:hAnsi="宋体" w:eastAsia="仿宋_GB2312"/>
          <w:sz w:val="28"/>
          <w:szCs w:val="28"/>
          <w:shd w:val="clear" w:color="auto" w:fill="FFFFFF"/>
        </w:rPr>
        <w:instrText xml:space="preserve"> INCLUDEPICTURE "http://mail.bankcomm.com/pwmail/errorUploadedFiles/_1_0C2BC1E80C2BBC9C000CCA83482574F7" \* MERGEFORMATINET </w:instrText>
      </w:r>
      <w:r>
        <w:rPr>
          <w:rFonts w:hint="eastAsia" w:ascii="仿宋_GB2312" w:hAnsi="宋体" w:eastAsia="仿宋_GB2312"/>
          <w:sz w:val="28"/>
          <w:szCs w:val="28"/>
          <w:shd w:val="clear" w:color="auto" w:fill="FFFFFF"/>
        </w:rPr>
        <w:fldChar w:fldCharType="separate"/>
      </w:r>
      <w:r>
        <w:rPr>
          <w:rFonts w:hint="eastAsia" w:ascii="仿宋_GB2312" w:hAnsi="宋体" w:eastAsia="仿宋_GB2312"/>
          <w:sz w:val="28"/>
          <w:szCs w:val="28"/>
          <w:shd w:val="clear" w:color="auto" w:fill="FFFFFF"/>
        </w:rPr>
        <w:drawing>
          <wp:inline distT="0" distB="0" distL="114300" distR="114300">
            <wp:extent cx="171450" cy="228600"/>
            <wp:effectExtent l="0" t="0" r="0" b="0"/>
            <wp:docPr id="3" name="图片 5" descr="_1_0C2BC1E80C2BBC9C000CCA83482574F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 descr="_1_0C2BC1E80C2BBC9C000CCA83482574F7"/>
                    <pic:cNvPicPr>
                      <a:picLocks noChangeAspect="1"/>
                    </pic:cNvPicPr>
                  </pic:nvPicPr>
                  <pic:blipFill>
                    <a:blip r:embed="rId13"/>
                    <a:stretch>
                      <a:fillRect/>
                    </a:stretch>
                  </pic:blipFill>
                  <pic:spPr>
                    <a:xfrm>
                      <a:off x="0" y="0"/>
                      <a:ext cx="171450" cy="228600"/>
                    </a:xfrm>
                    <a:prstGeom prst="rect">
                      <a:avLst/>
                    </a:prstGeom>
                    <a:noFill/>
                    <a:ln w="9525">
                      <a:noFill/>
                    </a:ln>
                  </pic:spPr>
                </pic:pic>
              </a:graphicData>
            </a:graphic>
          </wp:inline>
        </w:drawing>
      </w:r>
      <w:r>
        <w:rPr>
          <w:rFonts w:hint="eastAsia" w:ascii="仿宋_GB2312" w:hAnsi="宋体" w:eastAsia="仿宋_GB2312"/>
          <w:sz w:val="28"/>
          <w:szCs w:val="28"/>
          <w:shd w:val="clear" w:color="auto" w:fill="FFFFFF"/>
        </w:rPr>
        <w:fldChar w:fldCharType="end"/>
      </w:r>
      <w:r>
        <w:rPr>
          <w:rFonts w:hint="eastAsia" w:ascii="仿宋_GB2312" w:hAnsi="宋体" w:eastAsia="仿宋_GB2312"/>
          <w:sz w:val="28"/>
          <w:szCs w:val="28"/>
          <w:shd w:val="clear" w:color="auto" w:fill="FFFFFF"/>
        </w:rPr>
        <w:t xml:space="preserve">为负值）； </w:t>
      </w:r>
    </w:p>
    <w:p>
      <w:pPr>
        <w:tabs>
          <w:tab w:val="left" w:pos="900"/>
        </w:tabs>
        <w:spacing w:before="60" w:after="60" w:line="360" w:lineRule="auto"/>
        <w:ind w:left="540" w:leftChars="257"/>
        <w:rPr>
          <w:rFonts w:hint="eastAsia" w:ascii="仿宋_GB2312" w:hAnsi="宋体" w:eastAsia="仿宋_GB2312"/>
          <w:sz w:val="28"/>
          <w:szCs w:val="28"/>
          <w:shd w:val="clear" w:color="auto" w:fill="FFFFFF"/>
        </w:rPr>
      </w:pPr>
      <w:r>
        <w:rPr>
          <w:rFonts w:hint="eastAsia" w:ascii="仿宋_GB2312" w:eastAsia="仿宋_GB2312"/>
          <w:b/>
          <w:i/>
          <w:sz w:val="28"/>
          <w:szCs w:val="28"/>
          <w:shd w:val="clear" w:color="auto" w:fill="FFFFFF"/>
        </w:rPr>
        <w:t>D</w:t>
      </w:r>
      <w:r>
        <w:rPr>
          <w:rFonts w:hint="eastAsia" w:ascii="仿宋_GB2312" w:eastAsia="仿宋_GB2312"/>
          <w:i/>
          <w:sz w:val="28"/>
          <w:szCs w:val="28"/>
          <w:shd w:val="clear" w:color="auto" w:fill="FFFFFF"/>
          <w:vertAlign w:val="subscript"/>
        </w:rPr>
        <w:t>t</w:t>
      </w:r>
      <w:r>
        <w:rPr>
          <w:rFonts w:hint="eastAsia" w:ascii="仿宋_GB2312" w:hAnsi="宋体" w:eastAsia="仿宋_GB2312"/>
          <w:sz w:val="28"/>
          <w:szCs w:val="28"/>
          <w:shd w:val="clear" w:color="auto" w:fill="FFFFFF"/>
        </w:rPr>
        <w:t>——第</w:t>
      </w:r>
      <w:r>
        <w:rPr>
          <w:rFonts w:hint="eastAsia" w:ascii="仿宋_GB2312" w:eastAsia="仿宋_GB2312"/>
          <w:i/>
          <w:sz w:val="28"/>
          <w:szCs w:val="28"/>
          <w:shd w:val="clear" w:color="auto" w:fill="FFFFFF"/>
        </w:rPr>
        <w:t>t</w:t>
      </w:r>
      <w:r>
        <w:rPr>
          <w:rFonts w:hint="eastAsia" w:ascii="仿宋_GB2312" w:hAnsi="宋体" w:eastAsia="仿宋_GB2312"/>
          <w:sz w:val="28"/>
          <w:szCs w:val="28"/>
          <w:shd w:val="clear" w:color="auto" w:fill="FFFFFF"/>
        </w:rPr>
        <w:t>笔现金流发生日距离当年年末的自然天数（包括当年年末，但不包括第</w:t>
      </w:r>
      <w:r>
        <w:rPr>
          <w:rFonts w:hint="eastAsia" w:ascii="仿宋_GB2312" w:eastAsia="仿宋_GB2312"/>
          <w:i/>
          <w:sz w:val="28"/>
          <w:szCs w:val="28"/>
          <w:shd w:val="clear" w:color="auto" w:fill="FFFFFF"/>
        </w:rPr>
        <w:t>t</w:t>
      </w:r>
      <w:r>
        <w:rPr>
          <w:rFonts w:hint="eastAsia" w:ascii="仿宋_GB2312" w:hAnsi="宋体" w:eastAsia="仿宋_GB2312"/>
          <w:sz w:val="28"/>
          <w:szCs w:val="28"/>
          <w:shd w:val="clear" w:color="auto" w:fill="FFFFFF"/>
        </w:rPr>
        <w:t>笔现金流发生当日）；</w:t>
      </w:r>
    </w:p>
    <w:p>
      <w:pPr>
        <w:tabs>
          <w:tab w:val="left" w:pos="900"/>
        </w:tabs>
        <w:spacing w:before="60" w:after="60" w:line="360" w:lineRule="auto"/>
        <w:ind w:left="540" w:leftChars="257"/>
        <w:rPr>
          <w:rFonts w:hint="eastAsia" w:ascii="仿宋_GB2312" w:hAnsi="宋体" w:eastAsia="仿宋_GB2312"/>
          <w:sz w:val="28"/>
          <w:szCs w:val="28"/>
          <w:shd w:val="clear" w:color="auto" w:fill="FFFFFF"/>
        </w:rPr>
      </w:pPr>
      <w:r>
        <w:rPr>
          <w:rFonts w:hint="eastAsia" w:ascii="仿宋_GB2312" w:hAnsi="宋体" w:eastAsia="仿宋_GB2312"/>
          <w:sz w:val="28"/>
          <w:szCs w:val="28"/>
          <w:shd w:val="clear" w:color="auto" w:fill="FFFFFF"/>
        </w:rPr>
        <w:fldChar w:fldCharType="begin"/>
      </w:r>
      <w:r>
        <w:rPr>
          <w:rFonts w:hint="eastAsia" w:ascii="仿宋_GB2312" w:hAnsi="宋体" w:eastAsia="仿宋_GB2312"/>
          <w:sz w:val="28"/>
          <w:szCs w:val="28"/>
          <w:shd w:val="clear" w:color="auto" w:fill="FFFFFF"/>
        </w:rPr>
        <w:instrText xml:space="preserve"> INCLUDEPICTURE "http://mail.bankcomm.com/pwmail/errorUploadedFiles/_1_0C2BC9940C2BC740000CCA87482574F7" \* MERGEFORMATINET </w:instrText>
      </w:r>
      <w:r>
        <w:rPr>
          <w:rFonts w:hint="eastAsia" w:ascii="仿宋_GB2312" w:hAnsi="宋体" w:eastAsia="仿宋_GB2312"/>
          <w:sz w:val="28"/>
          <w:szCs w:val="28"/>
          <w:shd w:val="clear" w:color="auto" w:fill="FFFFFF"/>
        </w:rPr>
        <w:fldChar w:fldCharType="separate"/>
      </w:r>
      <w:r>
        <w:rPr>
          <w:rFonts w:hint="eastAsia" w:ascii="仿宋_GB2312" w:hAnsi="宋体" w:eastAsia="仿宋_GB2312"/>
          <w:sz w:val="28"/>
          <w:szCs w:val="28"/>
          <w:shd w:val="clear" w:color="auto" w:fill="FFFFFF"/>
        </w:rPr>
        <w:drawing>
          <wp:inline distT="0" distB="0" distL="114300" distR="114300">
            <wp:extent cx="200025" cy="228600"/>
            <wp:effectExtent l="0" t="0" r="9525" b="0"/>
            <wp:docPr id="4" name="图片 6" descr="_1_0C2BC9940C2BC740000CCA87482574F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6" descr="_1_0C2BC9940C2BC740000CCA87482574F7"/>
                    <pic:cNvPicPr>
                      <a:picLocks noChangeAspect="1"/>
                    </pic:cNvPicPr>
                  </pic:nvPicPr>
                  <pic:blipFill>
                    <a:blip r:embed="rId14"/>
                    <a:stretch>
                      <a:fillRect/>
                    </a:stretch>
                  </pic:blipFill>
                  <pic:spPr>
                    <a:xfrm>
                      <a:off x="0" y="0"/>
                      <a:ext cx="200025" cy="228600"/>
                    </a:xfrm>
                    <a:prstGeom prst="rect">
                      <a:avLst/>
                    </a:prstGeom>
                    <a:noFill/>
                    <a:ln w="9525">
                      <a:noFill/>
                    </a:ln>
                  </pic:spPr>
                </pic:pic>
              </a:graphicData>
            </a:graphic>
          </wp:inline>
        </w:drawing>
      </w:r>
      <w:r>
        <w:rPr>
          <w:rFonts w:hint="eastAsia" w:ascii="仿宋_GB2312" w:hAnsi="宋体" w:eastAsia="仿宋_GB2312"/>
          <w:sz w:val="28"/>
          <w:szCs w:val="28"/>
          <w:shd w:val="clear" w:color="auto" w:fill="FFFFFF"/>
        </w:rPr>
        <w:fldChar w:fldCharType="end"/>
      </w:r>
      <w:r>
        <w:rPr>
          <w:rFonts w:hint="eastAsia" w:ascii="仿宋_GB2312" w:hAnsi="宋体" w:eastAsia="仿宋_GB2312"/>
          <w:sz w:val="28"/>
          <w:szCs w:val="28"/>
          <w:shd w:val="clear" w:color="auto" w:fill="FFFFFF"/>
        </w:rPr>
        <w:t>第</w:t>
      </w:r>
      <w:r>
        <w:rPr>
          <w:rFonts w:hint="eastAsia" w:ascii="仿宋_GB2312" w:eastAsia="仿宋_GB2312"/>
          <w:i/>
          <w:sz w:val="28"/>
          <w:szCs w:val="28"/>
          <w:shd w:val="clear" w:color="auto" w:fill="FFFFFF"/>
        </w:rPr>
        <w:t>t</w:t>
      </w:r>
      <w:r>
        <w:rPr>
          <w:rFonts w:hint="eastAsia" w:ascii="仿宋_GB2312" w:hAnsi="宋体" w:eastAsia="仿宋_GB2312"/>
          <w:sz w:val="28"/>
          <w:szCs w:val="28"/>
          <w:shd w:val="clear" w:color="auto" w:fill="FFFFFF"/>
        </w:rPr>
        <w:t>笔现金流发生日后的第</w:t>
      </w:r>
      <w:r>
        <w:rPr>
          <w:rFonts w:hint="eastAsia" w:ascii="仿宋_GB2312" w:eastAsia="仿宋_GB2312"/>
          <w:i/>
          <w:sz w:val="28"/>
          <w:szCs w:val="28"/>
          <w:shd w:val="clear" w:color="auto" w:fill="FFFFFF"/>
        </w:rPr>
        <w:t>d</w:t>
      </w:r>
      <w:r>
        <w:rPr>
          <w:rFonts w:hint="eastAsia" w:ascii="仿宋_GB2312" w:hAnsi="宋体" w:eastAsia="仿宋_GB2312"/>
          <w:sz w:val="28"/>
          <w:szCs w:val="28"/>
          <w:shd w:val="clear" w:color="auto" w:fill="FFFFFF"/>
        </w:rPr>
        <w:t>日业绩报酬基准收益率。</w:t>
      </w:r>
    </w:p>
    <w:p>
      <w:pPr>
        <w:tabs>
          <w:tab w:val="left" w:pos="900"/>
        </w:tabs>
        <w:spacing w:before="60" w:after="60" w:line="360" w:lineRule="auto"/>
        <w:ind w:firstLine="560" w:firstLineChars="200"/>
        <w:rPr>
          <w:rFonts w:hint="eastAsia" w:ascii="仿宋_GB2312" w:hAnsi="宋体" w:eastAsia="仿宋_GB2312"/>
          <w:sz w:val="28"/>
          <w:szCs w:val="28"/>
          <w:shd w:val="clear" w:color="auto" w:fill="FFFFFF"/>
        </w:rPr>
      </w:pPr>
      <w:r>
        <w:rPr>
          <w:rFonts w:hint="eastAsia" w:ascii="仿宋_GB2312" w:hAnsi="宋体" w:eastAsia="仿宋_GB2312"/>
          <w:sz w:val="28"/>
          <w:szCs w:val="28"/>
          <w:shd w:val="clear" w:color="auto" w:fill="FFFFFF"/>
        </w:rPr>
        <w:t>注：当年年初委托投资资产净值</w:t>
      </w:r>
      <w:r>
        <w:rPr>
          <w:rFonts w:hint="eastAsia" w:ascii="仿宋_GB2312" w:eastAsia="仿宋_GB2312"/>
          <w:b/>
          <w:i/>
          <w:sz w:val="28"/>
          <w:szCs w:val="28"/>
          <w:shd w:val="clear" w:color="auto" w:fill="FFFFFF"/>
        </w:rPr>
        <w:t>C</w:t>
      </w:r>
      <w:r>
        <w:rPr>
          <w:rFonts w:hint="eastAsia" w:ascii="仿宋_GB2312" w:eastAsia="仿宋_GB2312"/>
          <w:i/>
          <w:sz w:val="28"/>
          <w:szCs w:val="28"/>
          <w:shd w:val="clear" w:color="auto" w:fill="FFFFFF"/>
          <w:vertAlign w:val="subscript"/>
        </w:rPr>
        <w:t>0</w:t>
      </w:r>
      <w:r>
        <w:rPr>
          <w:rFonts w:hint="eastAsia" w:ascii="仿宋_GB2312" w:hAnsi="宋体" w:eastAsia="仿宋_GB2312"/>
          <w:sz w:val="28"/>
          <w:szCs w:val="28"/>
          <w:shd w:val="clear" w:color="auto" w:fill="FFFFFF"/>
        </w:rPr>
        <w:t>为划入投资组合托管账户的首笔资金净值或者上一年年末委托投资资产净值，若上一年业绩报酬计提支付时点发生在本考核年度，本考核年年初委托资产净值需扣减上一年业绩报酬。当年年末委托投资资产净值</w:t>
      </w:r>
      <w:r>
        <w:rPr>
          <w:rFonts w:hint="eastAsia" w:ascii="仿宋_GB2312" w:eastAsia="仿宋_GB2312"/>
          <w:b/>
          <w:i/>
          <w:sz w:val="28"/>
          <w:szCs w:val="28"/>
          <w:shd w:val="clear" w:color="auto" w:fill="FFFFFF"/>
        </w:rPr>
        <w:t>A</w:t>
      </w:r>
      <w:r>
        <w:rPr>
          <w:rFonts w:hint="eastAsia" w:ascii="仿宋_GB2312" w:eastAsia="仿宋_GB2312"/>
          <w:i/>
          <w:sz w:val="28"/>
          <w:szCs w:val="28"/>
          <w:shd w:val="clear" w:color="auto" w:fill="FFFFFF"/>
          <w:vertAlign w:val="subscript"/>
        </w:rPr>
        <w:t>n</w:t>
      </w:r>
      <w:r>
        <w:rPr>
          <w:rFonts w:hint="eastAsia" w:ascii="仿宋_GB2312" w:hAnsi="宋体" w:eastAsia="仿宋_GB2312"/>
          <w:sz w:val="28"/>
          <w:szCs w:val="28"/>
          <w:shd w:val="clear" w:color="auto" w:fill="FFFFFF"/>
        </w:rPr>
        <w:t>为当年委托投资资产运作管理结束日委托投资资产净值。</w:t>
      </w:r>
    </w:p>
    <w:p>
      <w:pPr>
        <w:tabs>
          <w:tab w:val="left" w:pos="900"/>
        </w:tabs>
        <w:spacing w:before="60" w:after="60" w:line="360" w:lineRule="auto"/>
        <w:ind w:firstLine="560" w:firstLineChars="200"/>
        <w:rPr>
          <w:rFonts w:hint="eastAsia" w:ascii="仿宋_GB2312" w:hAnsi="宋体" w:eastAsia="仿宋_GB2312"/>
          <w:sz w:val="28"/>
          <w:szCs w:val="28"/>
          <w:shd w:val="clear" w:color="auto" w:fill="FFFFFF"/>
        </w:rPr>
      </w:pPr>
      <w:r>
        <w:rPr>
          <w:rFonts w:hint="eastAsia" w:ascii="仿宋_GB2312" w:hAnsi="宋体" w:eastAsia="仿宋_GB2312"/>
          <w:sz w:val="28"/>
          <w:szCs w:val="28"/>
          <w:shd w:val="clear" w:color="auto" w:fill="FFFFFF"/>
        </w:rPr>
        <w:t>11.3.2.2 业绩报酬的支付。</w:t>
      </w:r>
    </w:p>
    <w:p>
      <w:pPr>
        <w:tabs>
          <w:tab w:val="left" w:pos="900"/>
        </w:tabs>
        <w:spacing w:before="60" w:after="60" w:line="360" w:lineRule="auto"/>
        <w:ind w:firstLine="560" w:firstLineChars="200"/>
        <w:rPr>
          <w:rFonts w:hint="eastAsia" w:ascii="仿宋_GB2312" w:hAnsi="宋体" w:eastAsia="仿宋_GB2312"/>
          <w:sz w:val="28"/>
          <w:szCs w:val="28"/>
          <w:shd w:val="clear" w:color="auto" w:fill="FFFFFF"/>
        </w:rPr>
      </w:pPr>
      <w:r>
        <w:rPr>
          <w:rFonts w:hint="eastAsia" w:ascii="仿宋_GB2312" w:hAnsi="宋体" w:eastAsia="仿宋_GB2312"/>
          <w:sz w:val="28"/>
          <w:szCs w:val="28"/>
          <w:shd w:val="clear" w:color="auto" w:fill="FFFFFF"/>
        </w:rPr>
        <w:t>业绩报酬按会计年度支付。每年度结束或合同终止后</w:t>
      </w:r>
      <w:r>
        <w:rPr>
          <w:rFonts w:hint="eastAsia" w:ascii="仿宋_GB2312" w:hAnsi="宋体" w:eastAsia="仿宋_GB2312"/>
          <w:sz w:val="28"/>
          <w:szCs w:val="28"/>
          <w:u w:val="single"/>
          <w:shd w:val="clear" w:color="auto" w:fill="FFFFFF"/>
        </w:rPr>
        <w:t xml:space="preserve">   </w:t>
      </w:r>
      <w:r>
        <w:rPr>
          <w:rFonts w:hint="eastAsia" w:ascii="仿宋_GB2312" w:hAnsi="宋体" w:eastAsia="仿宋_GB2312"/>
          <w:sz w:val="28"/>
          <w:szCs w:val="28"/>
          <w:shd w:val="clear" w:color="auto" w:fill="FFFFFF"/>
        </w:rPr>
        <w:t>个工作日内，乙方计算业绩报酬支付额并将业绩报酬清单及计算依据发托管人复核，托管人复核后发给甲方。甲方在</w:t>
      </w:r>
      <w:r>
        <w:rPr>
          <w:rFonts w:hint="eastAsia" w:ascii="仿宋_GB2312" w:hAnsi="宋体" w:eastAsia="仿宋_GB2312"/>
          <w:sz w:val="28"/>
          <w:szCs w:val="28"/>
          <w:u w:val="single"/>
          <w:shd w:val="clear" w:color="auto" w:fill="FFFFFF"/>
        </w:rPr>
        <w:t xml:space="preserve">   </w:t>
      </w:r>
      <w:r>
        <w:rPr>
          <w:rFonts w:hint="eastAsia" w:ascii="仿宋_GB2312" w:hAnsi="宋体" w:eastAsia="仿宋_GB2312"/>
          <w:sz w:val="28"/>
          <w:szCs w:val="28"/>
          <w:shd w:val="clear" w:color="auto" w:fill="FFFFFF"/>
        </w:rPr>
        <w:t>个工作日内审核确认</w:t>
      </w:r>
      <w:r>
        <w:rPr>
          <w:rFonts w:hint="eastAsia" w:ascii="仿宋_GB2312" w:eastAsia="仿宋_GB2312"/>
          <w:sz w:val="28"/>
          <w:szCs w:val="28"/>
          <w:shd w:val="clear" w:color="auto" w:fill="FFFFFF"/>
        </w:rPr>
        <w:t>后，</w:t>
      </w:r>
      <w:r>
        <w:rPr>
          <w:rFonts w:hint="eastAsia" w:ascii="仿宋_GB2312" w:eastAsia="仿宋_GB2312"/>
          <w:sz w:val="28"/>
          <w:szCs w:val="28"/>
          <w:u w:val="single"/>
          <w:shd w:val="clear" w:color="auto" w:fill="FFFFFF"/>
        </w:rPr>
        <w:t xml:space="preserve">    </w:t>
      </w:r>
      <w:r>
        <w:rPr>
          <w:rFonts w:hint="eastAsia" w:ascii="仿宋_GB2312" w:hAnsi="宋体" w:eastAsia="仿宋_GB2312"/>
          <w:sz w:val="28"/>
          <w:szCs w:val="28"/>
          <w:shd w:val="clear" w:color="auto" w:fill="FFFFFF"/>
        </w:rPr>
        <w:t>个工作日内向托管人发送经乙方确认的划款指令，由托管人按划款指令从相应的委托投资资产中将业绩报酬支付额一次性支付给乙方，若遇公休日或法定节假日等，支付日期顺延。</w:t>
      </w:r>
    </w:p>
    <w:p>
      <w:pPr>
        <w:tabs>
          <w:tab w:val="left" w:pos="900"/>
        </w:tabs>
        <w:spacing w:before="60" w:after="60" w:line="360" w:lineRule="auto"/>
        <w:ind w:firstLine="560" w:firstLineChars="200"/>
        <w:rPr>
          <w:rFonts w:hint="eastAsia" w:ascii="仿宋_GB2312" w:hAnsi="宋体" w:eastAsia="仿宋_GB2312"/>
          <w:sz w:val="28"/>
          <w:szCs w:val="28"/>
          <w:shd w:val="clear" w:color="auto" w:fill="FFFFFF"/>
        </w:rPr>
      </w:pPr>
      <w:r>
        <w:rPr>
          <w:rFonts w:hint="eastAsia" w:ascii="仿宋_GB2312" w:hAnsi="宋体" w:eastAsia="仿宋_GB2312"/>
          <w:sz w:val="28"/>
          <w:szCs w:val="28"/>
          <w:shd w:val="clear" w:color="auto" w:fill="FFFFFF"/>
        </w:rPr>
        <w:t>11.3.3  如果企业年金基金投资运作的会计年/季度（成立当年/季或最后一年/季）为非完整会计年/季度，以当年/季的实际运作天数计提并支付。</w:t>
      </w:r>
    </w:p>
    <w:p>
      <w:pPr>
        <w:tabs>
          <w:tab w:val="left" w:pos="900"/>
        </w:tabs>
        <w:spacing w:before="60" w:after="60" w:line="360" w:lineRule="auto"/>
        <w:ind w:firstLine="560" w:firstLineChars="200"/>
        <w:rPr>
          <w:rFonts w:hint="eastAsia" w:ascii="仿宋_GB2312" w:hAnsi="宋体" w:eastAsia="仿宋_GB2312"/>
          <w:sz w:val="28"/>
          <w:szCs w:val="28"/>
          <w:shd w:val="clear" w:color="auto" w:fill="FFFFFF"/>
        </w:rPr>
      </w:pPr>
      <w:r>
        <w:rPr>
          <w:rFonts w:hint="eastAsia" w:ascii="仿宋_GB2312" w:hAnsi="宋体" w:eastAsia="仿宋_GB2312"/>
          <w:sz w:val="28"/>
          <w:szCs w:val="28"/>
          <w:shd w:val="clear" w:color="auto" w:fill="FFFFFF"/>
        </w:rPr>
        <w:t>11.3.4  合同有效期内，乙方每年计提的投资管理费（包括基本管理费和业绩报酬）总额不得超过管理费上限。管理费上限的计算方法如下：</w:t>
      </w:r>
    </w:p>
    <w:p>
      <w:pPr>
        <w:tabs>
          <w:tab w:val="left" w:pos="900"/>
        </w:tabs>
        <w:spacing w:before="60" w:after="60" w:line="360" w:lineRule="auto"/>
        <w:ind w:firstLine="560" w:firstLineChars="200"/>
        <w:rPr>
          <w:rFonts w:hint="eastAsia" w:ascii="仿宋_GB2312" w:hAnsi="宋体" w:eastAsia="仿宋_GB2312"/>
          <w:sz w:val="28"/>
          <w:szCs w:val="28"/>
          <w:shd w:val="clear" w:color="auto" w:fill="FFFFFF"/>
        </w:rPr>
      </w:pPr>
      <w:r>
        <w:rPr>
          <w:rFonts w:hint="eastAsia" w:ascii="仿宋_GB2312" w:hAnsi="宋体" w:eastAsia="仿宋_GB2312"/>
          <w:sz w:val="28"/>
          <w:szCs w:val="28"/>
          <w:shd w:val="clear" w:color="auto" w:fill="FFFFFF"/>
        </w:rPr>
        <w:t>管理费上限＝基本管理费总额/基本管理费率×1.2%</w:t>
      </w:r>
    </w:p>
    <w:p>
      <w:pPr>
        <w:spacing w:line="360" w:lineRule="auto"/>
        <w:ind w:firstLine="560" w:firstLineChars="200"/>
        <w:rPr>
          <w:rFonts w:hint="eastAsia" w:ascii="仿宋_GB2312" w:hAnsi="宋体" w:eastAsia="仿宋_GB2312"/>
          <w:sz w:val="28"/>
          <w:szCs w:val="28"/>
          <w:shd w:val="clear" w:color="auto" w:fill="FFFFFF"/>
        </w:rPr>
      </w:pPr>
      <w:r>
        <w:rPr>
          <w:rFonts w:hint="eastAsia" w:ascii="仿宋_GB2312" w:hAnsi="宋体" w:eastAsia="仿宋_GB2312"/>
          <w:sz w:val="28"/>
          <w:szCs w:val="28"/>
          <w:shd w:val="clear" w:color="auto" w:fill="FFFFFF"/>
        </w:rPr>
        <w:t>11.4  甲乙双方对投资管理费的计算与支付另有约定的，从其约定。相关管理费率发生调整时，甲方应当及时书面通知乙方和托管人。</w:t>
      </w:r>
      <w:bookmarkStart w:id="19" w:name="_Toc217293546"/>
      <w:bookmarkStart w:id="20" w:name="_Toc293335996"/>
    </w:p>
    <w:p>
      <w:pPr>
        <w:spacing w:line="360" w:lineRule="auto"/>
        <w:ind w:firstLine="560" w:firstLineChars="200"/>
        <w:rPr>
          <w:rFonts w:hint="eastAsia" w:ascii="仿宋_GB2312" w:hAnsi="宋体" w:eastAsia="仿宋_GB2312"/>
          <w:sz w:val="28"/>
          <w:szCs w:val="28"/>
          <w:shd w:val="clear" w:color="auto" w:fill="FFFFFF"/>
        </w:rPr>
      </w:pPr>
      <w:r>
        <w:rPr>
          <w:rFonts w:hint="eastAsia" w:ascii="仿宋_GB2312" w:hAnsi="宋体" w:eastAsia="仿宋_GB2312"/>
          <w:sz w:val="28"/>
          <w:szCs w:val="28"/>
          <w:shd w:val="clear" w:color="auto" w:fill="FFFFFF"/>
        </w:rPr>
        <w:t xml:space="preserve">11.5  </w:t>
      </w:r>
      <w:r>
        <w:rPr>
          <w:rFonts w:hint="eastAsia" w:ascii="仿宋_GB2312" w:eastAsia="仿宋_GB2312"/>
          <w:sz w:val="28"/>
          <w:szCs w:val="28"/>
          <w:shd w:val="clear" w:color="auto" w:fill="FFFFFF"/>
        </w:rPr>
        <w:t>企业年金基金费用包括受托管理费、托管费、账户管理费、投资管理费、交易费用、资金划拨费用、开户费用、审计费、清算费用以及法律法规规定的其他费用。</w:t>
      </w:r>
    </w:p>
    <w:bookmarkEnd w:id="19"/>
    <w:bookmarkEnd w:id="20"/>
    <w:p>
      <w:pPr>
        <w:pStyle w:val="2"/>
        <w:jc w:val="center"/>
        <w:rPr>
          <w:rStyle w:val="17"/>
          <w:rFonts w:hint="eastAsia" w:ascii="黑体" w:eastAsia="黑体"/>
          <w:sz w:val="28"/>
          <w:szCs w:val="28"/>
          <w:shd w:val="clear" w:color="auto" w:fill="FFFFFF"/>
        </w:rPr>
      </w:pPr>
      <w:bookmarkStart w:id="21" w:name="_Toc319934291"/>
      <w:r>
        <w:rPr>
          <w:rStyle w:val="17"/>
          <w:rFonts w:hint="eastAsia" w:ascii="黑体" w:eastAsia="黑体"/>
          <w:sz w:val="28"/>
          <w:szCs w:val="28"/>
          <w:shd w:val="clear" w:color="auto" w:fill="FFFFFF"/>
        </w:rPr>
        <w:t>第十二章  投资管理风险准备金</w:t>
      </w:r>
      <w:bookmarkEnd w:id="21"/>
    </w:p>
    <w:p>
      <w:pPr>
        <w:spacing w:line="360" w:lineRule="auto"/>
        <w:ind w:firstLine="560" w:firstLineChars="200"/>
        <w:rPr>
          <w:rFonts w:hint="eastAsia" w:ascii="仿宋_GB2312" w:eastAsia="仿宋_GB2312"/>
          <w:sz w:val="28"/>
          <w:szCs w:val="28"/>
          <w:shd w:val="clear" w:color="auto" w:fill="FFFFFF"/>
        </w:rPr>
      </w:pPr>
      <w:r>
        <w:rPr>
          <w:rFonts w:hint="eastAsia" w:ascii="仿宋_GB2312" w:eastAsia="仿宋_GB2312"/>
          <w:sz w:val="28"/>
          <w:szCs w:val="28"/>
          <w:shd w:val="clear" w:color="auto" w:fill="FFFFFF"/>
        </w:rPr>
        <w:t>12.1  乙方从当期收取的投资管理管理费中，提取20%作为投资管理风险准备金存入投资管理风险准备金账户，专项用于弥补合同终止时所管理投资组合的企业年金基金当期委托投资资产的投资亏损。</w:t>
      </w:r>
    </w:p>
    <w:p>
      <w:pPr>
        <w:spacing w:line="360" w:lineRule="auto"/>
        <w:ind w:firstLine="560" w:firstLineChars="200"/>
        <w:rPr>
          <w:rFonts w:hint="eastAsia" w:ascii="仿宋_GB2312" w:eastAsia="仿宋_GB2312"/>
          <w:bCs/>
          <w:sz w:val="28"/>
          <w:szCs w:val="28"/>
          <w:shd w:val="clear" w:color="auto" w:fill="FFFFFF"/>
        </w:rPr>
      </w:pPr>
      <w:r>
        <w:rPr>
          <w:rFonts w:hint="eastAsia" w:ascii="仿宋_GB2312" w:eastAsia="仿宋_GB2312"/>
          <w:sz w:val="28"/>
          <w:szCs w:val="28"/>
          <w:shd w:val="clear" w:color="auto" w:fill="FFFFFF"/>
        </w:rPr>
        <w:t>12.2  投资管理风险准备金余额达到乙方所管理投资组合基金财产净值的10%时可以不再提取</w:t>
      </w:r>
      <w:r>
        <w:rPr>
          <w:rFonts w:hint="eastAsia" w:ascii="仿宋_GB2312" w:eastAsia="仿宋_GB2312"/>
          <w:bCs/>
          <w:sz w:val="28"/>
          <w:szCs w:val="28"/>
          <w:shd w:val="clear" w:color="auto" w:fill="FFFFFF"/>
        </w:rPr>
        <w:t>。</w:t>
      </w:r>
    </w:p>
    <w:p>
      <w:pPr>
        <w:spacing w:line="360" w:lineRule="auto"/>
        <w:ind w:firstLine="560" w:firstLineChars="200"/>
        <w:rPr>
          <w:rFonts w:hint="eastAsia" w:ascii="仿宋_GB2312" w:eastAsia="仿宋_GB2312"/>
          <w:sz w:val="28"/>
          <w:szCs w:val="28"/>
          <w:shd w:val="clear" w:color="auto" w:fill="FFFFFF"/>
        </w:rPr>
      </w:pPr>
      <w:r>
        <w:rPr>
          <w:rFonts w:hint="eastAsia" w:ascii="仿宋_GB2312" w:eastAsia="仿宋_GB2312"/>
          <w:sz w:val="28"/>
          <w:szCs w:val="28"/>
          <w:shd w:val="clear" w:color="auto" w:fill="FFFFFF"/>
        </w:rPr>
        <w:t>12.3  发生第12.2款的情况后，若因如投资组合基金财产净值增加或者投资管理风险准备金被使用而导致投资管理风险准备金余额低于投资组合基金财产净值10％的，乙方从当期收取的投资管理费中继续计提投资管理风险准备金，直至投资管理风险准备金余额达到投资组合基金财产净值的10％时止。</w:t>
      </w:r>
    </w:p>
    <w:p>
      <w:pPr>
        <w:spacing w:line="360" w:lineRule="auto"/>
        <w:ind w:firstLine="560" w:firstLineChars="200"/>
        <w:rPr>
          <w:rFonts w:hint="eastAsia" w:ascii="仿宋_GB2312" w:eastAsia="仿宋_GB2312"/>
          <w:sz w:val="28"/>
          <w:szCs w:val="28"/>
          <w:shd w:val="clear" w:color="auto" w:fill="FFFFFF"/>
        </w:rPr>
      </w:pPr>
      <w:r>
        <w:rPr>
          <w:rFonts w:hint="eastAsia" w:ascii="仿宋_GB2312" w:eastAsia="仿宋_GB2312"/>
          <w:sz w:val="28"/>
          <w:szCs w:val="28"/>
          <w:shd w:val="clear" w:color="auto" w:fill="FFFFFF"/>
        </w:rPr>
        <w:t>12.4  如投资组合基金财产净值减少而导致投资管理风险准备金余额超过投资组合基金财产净值10％，乙方暂停计提投资管理风险准备金，不得动用或支取超额部分的投资管理风险准备金。</w:t>
      </w:r>
    </w:p>
    <w:p>
      <w:pPr>
        <w:spacing w:line="360" w:lineRule="auto"/>
        <w:ind w:firstLine="560" w:firstLineChars="200"/>
        <w:rPr>
          <w:rFonts w:hint="eastAsia" w:ascii="仿宋_GB2312" w:eastAsia="仿宋_GB2312"/>
          <w:sz w:val="28"/>
          <w:szCs w:val="28"/>
          <w:shd w:val="clear" w:color="auto" w:fill="FFFFFF"/>
        </w:rPr>
      </w:pPr>
      <w:r>
        <w:rPr>
          <w:rFonts w:hint="eastAsia" w:ascii="仿宋_GB2312" w:eastAsia="仿宋_GB2312"/>
          <w:sz w:val="28"/>
          <w:szCs w:val="28"/>
          <w:shd w:val="clear" w:color="auto" w:fill="FFFFFF"/>
        </w:rPr>
        <w:t>12.5  当本合同终止时，如所管理投资组合的企业年金财产净值低于当期委托投资资产的，乙方应当用投资管理风险准备金弥补该时点的当期委托投资资产亏损，直至该投资组合投资管理风险准备金弥补完毕。如所管理投资组合的企业年金基金当期委托投资资产没有发生投资亏损或者投资管理风险准备金弥补后有剩余的，投资管理风险准备金划归乙方。</w:t>
      </w:r>
      <w:bookmarkStart w:id="22" w:name="_Toc293335802"/>
      <w:bookmarkStart w:id="23" w:name="_Toc293335998"/>
    </w:p>
    <w:p>
      <w:pPr>
        <w:spacing w:line="360" w:lineRule="auto"/>
        <w:ind w:firstLine="560" w:firstLineChars="200"/>
        <w:rPr>
          <w:rFonts w:hint="eastAsia" w:ascii="仿宋_GB2312" w:eastAsia="仿宋_GB2312"/>
          <w:sz w:val="28"/>
          <w:szCs w:val="28"/>
          <w:shd w:val="clear" w:color="auto" w:fill="FFFFFF"/>
        </w:rPr>
      </w:pPr>
      <w:r>
        <w:rPr>
          <w:rFonts w:hint="eastAsia" w:ascii="仿宋_GB2312" w:eastAsia="仿宋_GB2312"/>
          <w:sz w:val="28"/>
          <w:szCs w:val="28"/>
          <w:shd w:val="clear" w:color="auto" w:fill="FFFFFF"/>
        </w:rPr>
        <w:t>12.6  投资管理合同到期顺延或者到期续签的，按照第12.5款的约定将风险准备金划归乙方。</w:t>
      </w:r>
    </w:p>
    <w:p>
      <w:pPr>
        <w:spacing w:line="360" w:lineRule="auto"/>
        <w:ind w:firstLine="560" w:firstLineChars="200"/>
        <w:rPr>
          <w:rFonts w:hint="eastAsia" w:ascii="仿宋_GB2312" w:eastAsia="仿宋_GB2312"/>
          <w:sz w:val="28"/>
          <w:szCs w:val="28"/>
          <w:shd w:val="clear" w:color="auto" w:fill="FFFFFF"/>
        </w:rPr>
      </w:pPr>
      <w:r>
        <w:rPr>
          <w:rFonts w:hint="eastAsia" w:ascii="仿宋_GB2312" w:eastAsia="仿宋_GB2312"/>
          <w:sz w:val="28"/>
          <w:szCs w:val="28"/>
          <w:shd w:val="clear" w:color="auto" w:fill="FFFFFF"/>
        </w:rPr>
        <w:t>12.7 投资管理风险准备金由乙方进行管理，可以投资于银行存款、国债等高流动性、低风险金融产品。投资管理风险准备金产生的投资收益，应当纳入投资管理风险准备金管理。</w:t>
      </w:r>
      <w:bookmarkEnd w:id="22"/>
      <w:bookmarkEnd w:id="23"/>
      <w:r>
        <w:rPr>
          <w:rFonts w:hint="eastAsia" w:ascii="仿宋_GB2312" w:eastAsia="仿宋_GB2312"/>
          <w:sz w:val="28"/>
          <w:szCs w:val="28"/>
          <w:shd w:val="clear" w:color="auto" w:fill="FFFFFF"/>
        </w:rPr>
        <w:t>各组合风险准备金的收益分配采用简单资产加权平均法，以期初资产为权重。</w:t>
      </w:r>
    </w:p>
    <w:p>
      <w:pPr>
        <w:pStyle w:val="26"/>
        <w:spacing w:line="360" w:lineRule="auto"/>
        <w:ind w:left="143" w:leftChars="68" w:firstLineChars="150"/>
        <w:rPr>
          <w:rFonts w:hint="eastAsia" w:ascii="仿宋_GB2312" w:eastAsia="仿宋_GB2312"/>
          <w:sz w:val="28"/>
          <w:szCs w:val="28"/>
          <w:shd w:val="clear" w:color="auto" w:fill="FFFFFF"/>
        </w:rPr>
      </w:pPr>
      <w:r>
        <w:rPr>
          <w:rFonts w:hint="eastAsia" w:ascii="仿宋_GB2312" w:hAnsi="Times New Roman" w:eastAsia="仿宋_GB2312"/>
          <w:sz w:val="28"/>
          <w:szCs w:val="28"/>
          <w:shd w:val="clear" w:color="auto" w:fill="FFFFFF"/>
        </w:rPr>
        <w:t>12.8  乙方对投资管理风险准备金进行计提，并与托管人核对投资风险准备金账户明细和余额。托管人不得对投资风险准备金账户收取托管费。</w:t>
      </w:r>
    </w:p>
    <w:p>
      <w:pPr>
        <w:pStyle w:val="2"/>
        <w:jc w:val="center"/>
        <w:rPr>
          <w:rFonts w:hint="eastAsia" w:ascii="黑体" w:eastAsia="黑体"/>
          <w:sz w:val="28"/>
          <w:szCs w:val="28"/>
          <w:shd w:val="clear" w:color="auto" w:fill="FFFFFF"/>
        </w:rPr>
      </w:pPr>
      <w:bookmarkStart w:id="24" w:name="_Toc319934292"/>
      <w:r>
        <w:rPr>
          <w:rStyle w:val="17"/>
          <w:rFonts w:hint="eastAsia" w:ascii="黑体" w:eastAsia="黑体"/>
          <w:sz w:val="28"/>
          <w:szCs w:val="28"/>
          <w:shd w:val="clear" w:color="auto" w:fill="FFFFFF"/>
        </w:rPr>
        <w:t>第十三章  委托投资资产的会计与审计</w:t>
      </w:r>
      <w:bookmarkEnd w:id="24"/>
    </w:p>
    <w:p>
      <w:pPr>
        <w:spacing w:line="360" w:lineRule="auto"/>
        <w:ind w:firstLine="560" w:firstLineChars="200"/>
        <w:rPr>
          <w:rFonts w:hint="eastAsia" w:ascii="仿宋_GB2312" w:eastAsia="仿宋_GB2312"/>
          <w:sz w:val="28"/>
          <w:szCs w:val="28"/>
          <w:shd w:val="clear" w:color="auto" w:fill="FFFFFF"/>
        </w:rPr>
      </w:pPr>
      <w:r>
        <w:rPr>
          <w:rFonts w:hint="eastAsia" w:ascii="仿宋_GB2312" w:eastAsia="仿宋_GB2312"/>
          <w:sz w:val="28"/>
          <w:szCs w:val="28"/>
          <w:shd w:val="clear" w:color="auto" w:fill="FFFFFF"/>
        </w:rPr>
        <w:t>13.1  委托投资资产的会计。</w:t>
      </w:r>
    </w:p>
    <w:p>
      <w:pPr>
        <w:spacing w:line="360" w:lineRule="auto"/>
        <w:ind w:firstLine="560" w:firstLineChars="200"/>
        <w:rPr>
          <w:rFonts w:hint="eastAsia" w:ascii="仿宋_GB2312" w:eastAsia="仿宋_GB2312"/>
          <w:sz w:val="28"/>
          <w:szCs w:val="28"/>
          <w:shd w:val="clear" w:color="auto" w:fill="FFFFFF"/>
        </w:rPr>
      </w:pPr>
      <w:r>
        <w:rPr>
          <w:rFonts w:hint="eastAsia" w:ascii="仿宋_GB2312" w:eastAsia="仿宋_GB2312"/>
          <w:sz w:val="28"/>
          <w:szCs w:val="28"/>
          <w:shd w:val="clear" w:color="auto" w:fill="FFFFFF"/>
        </w:rPr>
        <w:t>13.1.1  会计年度为公历每年1 月1 日至12 月31 日。</w:t>
      </w:r>
    </w:p>
    <w:p>
      <w:pPr>
        <w:spacing w:line="360" w:lineRule="auto"/>
        <w:ind w:firstLine="560" w:firstLineChars="200"/>
        <w:rPr>
          <w:rFonts w:hint="eastAsia" w:ascii="仿宋_GB2312" w:eastAsia="仿宋_GB2312"/>
          <w:sz w:val="28"/>
          <w:szCs w:val="28"/>
          <w:shd w:val="clear" w:color="auto" w:fill="FFFFFF"/>
        </w:rPr>
      </w:pPr>
      <w:r>
        <w:rPr>
          <w:rFonts w:hint="eastAsia" w:ascii="仿宋_GB2312" w:eastAsia="仿宋_GB2312"/>
          <w:sz w:val="28"/>
          <w:szCs w:val="28"/>
          <w:shd w:val="clear" w:color="auto" w:fill="FFFFFF"/>
        </w:rPr>
        <w:t>13.1.2  委托投资资产核算以人民币为记账本位币，以人民币元为记账单位。</w:t>
      </w:r>
    </w:p>
    <w:p>
      <w:pPr>
        <w:spacing w:line="360" w:lineRule="auto"/>
        <w:ind w:firstLine="560" w:firstLineChars="200"/>
        <w:rPr>
          <w:rFonts w:hint="eastAsia" w:ascii="仿宋_GB2312" w:eastAsia="仿宋_GB2312"/>
          <w:sz w:val="28"/>
          <w:szCs w:val="28"/>
          <w:shd w:val="clear" w:color="auto" w:fill="FFFFFF"/>
        </w:rPr>
      </w:pPr>
      <w:r>
        <w:rPr>
          <w:rFonts w:hint="eastAsia" w:ascii="仿宋_GB2312" w:eastAsia="仿宋_GB2312"/>
          <w:sz w:val="28"/>
          <w:szCs w:val="28"/>
          <w:shd w:val="clear" w:color="auto" w:fill="FFFFFF"/>
        </w:rPr>
        <w:t xml:space="preserve">13.1.3  企业年金基金采用份额法核算。会计制度按照《企业会计准则第10号—企业年金基金》、《企业会计准则第22号-金融工具确认和计量》及修订后的相关会计准则执行，并参照《证券投资基金会计核算业务指引》等规定。 </w:t>
      </w:r>
    </w:p>
    <w:p>
      <w:pPr>
        <w:spacing w:line="360" w:lineRule="auto"/>
        <w:ind w:firstLine="560" w:firstLineChars="200"/>
        <w:rPr>
          <w:rFonts w:hint="eastAsia" w:ascii="仿宋_GB2312" w:eastAsia="仿宋_GB2312"/>
          <w:sz w:val="28"/>
          <w:szCs w:val="28"/>
          <w:shd w:val="clear" w:color="auto" w:fill="FFFFFF"/>
        </w:rPr>
      </w:pPr>
      <w:r>
        <w:rPr>
          <w:rFonts w:hint="eastAsia" w:ascii="仿宋_GB2312" w:eastAsia="仿宋_GB2312"/>
          <w:sz w:val="28"/>
          <w:szCs w:val="28"/>
          <w:shd w:val="clear" w:color="auto" w:fill="FFFFFF"/>
        </w:rPr>
        <w:t xml:space="preserve">13.1.4  </w:t>
      </w:r>
      <w:r>
        <w:rPr>
          <w:rFonts w:hint="eastAsia" w:ascii="仿宋_GB2312" w:hAnsi="宋体" w:eastAsia="仿宋_GB2312"/>
          <w:color w:val="000000"/>
          <w:sz w:val="28"/>
          <w:szCs w:val="28"/>
          <w:shd w:val="clear" w:color="auto" w:fill="FFFFFF"/>
        </w:rPr>
        <w:t>乙方和托管人应当对企业年金基金投资组合单独建账、独立核算。</w:t>
      </w:r>
    </w:p>
    <w:p>
      <w:pPr>
        <w:spacing w:line="360" w:lineRule="auto"/>
        <w:ind w:firstLine="560" w:firstLineChars="200"/>
        <w:rPr>
          <w:rFonts w:hint="eastAsia" w:ascii="仿宋_GB2312" w:hAnsi="宋体" w:eastAsia="仿宋_GB2312"/>
          <w:color w:val="000000"/>
          <w:sz w:val="28"/>
          <w:szCs w:val="28"/>
          <w:shd w:val="clear" w:color="auto" w:fill="FFFFFF"/>
        </w:rPr>
      </w:pPr>
      <w:r>
        <w:rPr>
          <w:rFonts w:hint="eastAsia" w:ascii="仿宋_GB2312" w:eastAsia="仿宋_GB2312"/>
          <w:sz w:val="28"/>
          <w:szCs w:val="28"/>
          <w:shd w:val="clear" w:color="auto" w:fill="FFFFFF"/>
        </w:rPr>
        <w:t xml:space="preserve">13.1.5  </w:t>
      </w:r>
      <w:r>
        <w:rPr>
          <w:rFonts w:hint="eastAsia" w:ascii="仿宋_GB2312" w:hAnsi="宋体" w:eastAsia="仿宋_GB2312"/>
          <w:color w:val="000000"/>
          <w:sz w:val="28"/>
          <w:szCs w:val="28"/>
          <w:shd w:val="clear" w:color="auto" w:fill="FFFFFF"/>
        </w:rPr>
        <w:t>托管人负责复核和审查乙方计算的企业年金基金财产净值，并</w:t>
      </w:r>
      <w:r>
        <w:rPr>
          <w:rFonts w:hint="eastAsia" w:ascii="仿宋_GB2312" w:eastAsia="仿宋_GB2312"/>
          <w:sz w:val="28"/>
          <w:szCs w:val="28"/>
          <w:shd w:val="clear" w:color="auto" w:fill="FFFFFF"/>
        </w:rPr>
        <w:t>按照有关规定编制企业年金基金会计报表</w:t>
      </w:r>
      <w:r>
        <w:rPr>
          <w:rFonts w:hint="eastAsia" w:ascii="仿宋_GB2312" w:hAnsi="宋体" w:eastAsia="仿宋_GB2312"/>
          <w:color w:val="000000"/>
          <w:sz w:val="28"/>
          <w:szCs w:val="28"/>
          <w:shd w:val="clear" w:color="auto" w:fill="FFFFFF"/>
        </w:rPr>
        <w:t>。</w:t>
      </w:r>
    </w:p>
    <w:p>
      <w:pPr>
        <w:spacing w:line="360" w:lineRule="auto"/>
        <w:ind w:firstLine="560" w:firstLineChars="200"/>
        <w:rPr>
          <w:rFonts w:hint="eastAsia" w:ascii="仿宋_GB2312" w:hAnsi="宋体" w:eastAsia="仿宋_GB2312"/>
          <w:color w:val="000000"/>
          <w:sz w:val="28"/>
          <w:szCs w:val="28"/>
          <w:shd w:val="clear" w:color="auto" w:fill="FFFFFF"/>
        </w:rPr>
      </w:pPr>
      <w:r>
        <w:rPr>
          <w:rFonts w:hint="eastAsia" w:ascii="仿宋_GB2312" w:hAnsi="宋体" w:eastAsia="仿宋_GB2312"/>
          <w:color w:val="000000"/>
          <w:sz w:val="28"/>
          <w:szCs w:val="28"/>
          <w:shd w:val="clear" w:color="auto" w:fill="FFFFFF"/>
        </w:rPr>
        <w:t>13.1.6  乙方应当定期与托管人核对有关数据。</w:t>
      </w:r>
    </w:p>
    <w:p>
      <w:pPr>
        <w:spacing w:line="360" w:lineRule="auto"/>
        <w:ind w:firstLine="560" w:firstLineChars="200"/>
        <w:rPr>
          <w:rFonts w:hint="eastAsia" w:ascii="仿宋_GB2312" w:eastAsia="仿宋_GB2312"/>
          <w:sz w:val="28"/>
          <w:szCs w:val="28"/>
          <w:shd w:val="clear" w:color="auto" w:fill="FFFFFF"/>
        </w:rPr>
      </w:pPr>
      <w:r>
        <w:rPr>
          <w:rFonts w:hint="eastAsia" w:ascii="仿宋_GB2312" w:eastAsia="仿宋_GB2312"/>
          <w:sz w:val="28"/>
          <w:szCs w:val="28"/>
          <w:shd w:val="clear" w:color="auto" w:fill="FFFFFF"/>
        </w:rPr>
        <w:t>13.2  企业年金基金审计。</w:t>
      </w:r>
    </w:p>
    <w:p>
      <w:pPr>
        <w:spacing w:line="360" w:lineRule="auto"/>
        <w:ind w:firstLine="560" w:firstLineChars="200"/>
        <w:rPr>
          <w:rFonts w:hint="eastAsia" w:ascii="仿宋_GB2312" w:eastAsia="仿宋_GB2312"/>
          <w:sz w:val="28"/>
          <w:szCs w:val="28"/>
          <w:shd w:val="clear" w:color="auto" w:fill="FFFFFF"/>
        </w:rPr>
      </w:pPr>
      <w:r>
        <w:rPr>
          <w:rFonts w:hint="eastAsia" w:ascii="仿宋_GB2312" w:eastAsia="仿宋_GB2312"/>
          <w:sz w:val="28"/>
          <w:szCs w:val="28"/>
          <w:shd w:val="clear" w:color="auto" w:fill="FFFFFF"/>
        </w:rPr>
        <w:t xml:space="preserve">13.2.1  发生以下情形之一的，甲方应当聘请会计师事务所对企业年金计划进行审计： </w:t>
      </w:r>
    </w:p>
    <w:p>
      <w:pPr>
        <w:spacing w:line="360" w:lineRule="auto"/>
        <w:ind w:firstLine="560" w:firstLineChars="200"/>
        <w:rPr>
          <w:rFonts w:hint="eastAsia" w:ascii="仿宋_GB2312" w:eastAsia="仿宋_GB2312"/>
          <w:sz w:val="28"/>
          <w:szCs w:val="28"/>
          <w:shd w:val="clear" w:color="auto" w:fill="FFFFFF"/>
        </w:rPr>
      </w:pPr>
      <w:r>
        <w:rPr>
          <w:rFonts w:hint="eastAsia" w:ascii="仿宋_GB2312" w:eastAsia="仿宋_GB2312"/>
          <w:sz w:val="28"/>
          <w:szCs w:val="28"/>
          <w:shd w:val="clear" w:color="auto" w:fill="FFFFFF"/>
        </w:rPr>
        <w:t>13.2.1.1  企业年金计划连续运作满三个会计年度时；</w:t>
      </w:r>
    </w:p>
    <w:p>
      <w:pPr>
        <w:spacing w:line="360" w:lineRule="auto"/>
        <w:ind w:firstLine="560" w:firstLineChars="200"/>
        <w:rPr>
          <w:rFonts w:hint="eastAsia" w:ascii="仿宋_GB2312" w:eastAsia="仿宋_GB2312"/>
          <w:sz w:val="28"/>
          <w:szCs w:val="28"/>
          <w:shd w:val="clear" w:color="auto" w:fill="FFFFFF"/>
        </w:rPr>
      </w:pPr>
      <w:r>
        <w:rPr>
          <w:rFonts w:hint="eastAsia" w:ascii="仿宋_GB2312" w:eastAsia="仿宋_GB2312"/>
          <w:sz w:val="28"/>
          <w:szCs w:val="28"/>
          <w:shd w:val="clear" w:color="auto" w:fill="FFFFFF"/>
        </w:rPr>
        <w:t>13.2.1.2  受托人、账户管理人、托管人或投资管理人职责终止时；</w:t>
      </w:r>
    </w:p>
    <w:p>
      <w:pPr>
        <w:spacing w:line="360" w:lineRule="auto"/>
        <w:ind w:firstLine="560" w:firstLineChars="200"/>
        <w:rPr>
          <w:rFonts w:hint="eastAsia" w:ascii="仿宋_GB2312" w:eastAsia="仿宋_GB2312"/>
          <w:sz w:val="28"/>
          <w:szCs w:val="28"/>
          <w:shd w:val="clear" w:color="auto" w:fill="FFFFFF"/>
        </w:rPr>
      </w:pPr>
      <w:r>
        <w:rPr>
          <w:rFonts w:hint="eastAsia" w:ascii="仿宋_GB2312" w:eastAsia="仿宋_GB2312"/>
          <w:sz w:val="28"/>
          <w:szCs w:val="28"/>
          <w:shd w:val="clear" w:color="auto" w:fill="FFFFFF"/>
        </w:rPr>
        <w:t>13.2.1.3  法律法规规定的其他情形。</w:t>
      </w:r>
    </w:p>
    <w:p>
      <w:pPr>
        <w:spacing w:line="360" w:lineRule="auto"/>
        <w:ind w:firstLine="560" w:firstLineChars="200"/>
        <w:rPr>
          <w:rFonts w:hint="eastAsia" w:ascii="仿宋_GB2312" w:eastAsia="仿宋_GB2312"/>
          <w:sz w:val="28"/>
          <w:szCs w:val="28"/>
          <w:shd w:val="clear" w:color="auto" w:fill="FFFFFF"/>
        </w:rPr>
      </w:pPr>
      <w:r>
        <w:rPr>
          <w:rFonts w:hint="eastAsia" w:ascii="仿宋_GB2312" w:eastAsia="仿宋_GB2312"/>
          <w:sz w:val="28"/>
          <w:szCs w:val="28"/>
          <w:shd w:val="clear" w:color="auto" w:fill="FFFFFF"/>
        </w:rPr>
        <w:t>13.2.2  甲方聘请与委托人、甲方、乙方、账户管理人或投资管理人非关联方的会计师事务所和注册会计师对企业年金基金进行审计。</w:t>
      </w:r>
    </w:p>
    <w:p>
      <w:pPr>
        <w:spacing w:line="360" w:lineRule="auto"/>
        <w:ind w:firstLine="480"/>
        <w:rPr>
          <w:rFonts w:hint="eastAsia" w:ascii="仿宋_GB2312" w:eastAsia="仿宋_GB2312"/>
          <w:sz w:val="28"/>
          <w:szCs w:val="28"/>
          <w:shd w:val="clear" w:color="auto" w:fill="FFFFFF"/>
        </w:rPr>
      </w:pPr>
      <w:r>
        <w:rPr>
          <w:rFonts w:hint="eastAsia" w:ascii="仿宋_GB2312" w:eastAsia="仿宋_GB2312"/>
          <w:sz w:val="28"/>
          <w:szCs w:val="28"/>
          <w:shd w:val="clear" w:color="auto" w:fill="FFFFFF"/>
        </w:rPr>
        <w:t>13.2.3  乙方应当自上述情况发生之日起配合会计师事务所对企业年金计划进行审计。甲方应当自第13.2.1款情况发生之日起50日内向委托人及人力资源社会保障行政部门提交审计报告。</w:t>
      </w:r>
    </w:p>
    <w:p>
      <w:pPr>
        <w:spacing w:line="360" w:lineRule="auto"/>
        <w:ind w:firstLine="480"/>
        <w:rPr>
          <w:rFonts w:hint="eastAsia" w:ascii="仿宋_GB2312" w:eastAsia="仿宋_GB2312"/>
          <w:sz w:val="28"/>
          <w:szCs w:val="28"/>
          <w:shd w:val="clear" w:color="auto" w:fill="FFFFFF"/>
        </w:rPr>
      </w:pPr>
      <w:r>
        <w:rPr>
          <w:rFonts w:hint="eastAsia" w:ascii="仿宋_GB2312" w:eastAsia="仿宋_GB2312"/>
          <w:sz w:val="28"/>
          <w:szCs w:val="28"/>
          <w:shd w:val="clear" w:color="auto" w:fill="FFFFFF"/>
        </w:rPr>
        <w:t>13.2.4 审计费用从企业年金基金财产中扣除。</w:t>
      </w:r>
    </w:p>
    <w:p>
      <w:pPr>
        <w:pStyle w:val="2"/>
        <w:jc w:val="center"/>
        <w:rPr>
          <w:rStyle w:val="17"/>
          <w:rFonts w:hint="eastAsia" w:ascii="黑体" w:eastAsia="黑体"/>
          <w:sz w:val="28"/>
          <w:szCs w:val="28"/>
          <w:shd w:val="clear" w:color="auto" w:fill="FFFFFF"/>
        </w:rPr>
      </w:pPr>
      <w:bookmarkStart w:id="25" w:name="_Toc319934293"/>
      <w:r>
        <w:rPr>
          <w:rStyle w:val="17"/>
          <w:rFonts w:hint="eastAsia" w:ascii="黑体" w:eastAsia="黑体"/>
          <w:sz w:val="28"/>
          <w:szCs w:val="28"/>
          <w:shd w:val="clear" w:color="auto" w:fill="FFFFFF"/>
        </w:rPr>
        <w:t>第十四章  信息报告与披露</w:t>
      </w:r>
      <w:bookmarkEnd w:id="25"/>
    </w:p>
    <w:p>
      <w:pPr>
        <w:spacing w:line="360" w:lineRule="auto"/>
        <w:ind w:firstLine="560" w:firstLineChars="200"/>
        <w:rPr>
          <w:rFonts w:hint="eastAsia" w:ascii="仿宋_GB2312" w:eastAsia="仿宋_GB2312"/>
          <w:sz w:val="28"/>
          <w:szCs w:val="28"/>
          <w:shd w:val="clear" w:color="auto" w:fill="FFFFFF"/>
        </w:rPr>
      </w:pPr>
      <w:r>
        <w:rPr>
          <w:rFonts w:hint="eastAsia" w:ascii="仿宋_GB2312" w:eastAsia="仿宋_GB2312"/>
          <w:sz w:val="28"/>
          <w:szCs w:val="28"/>
          <w:shd w:val="clear" w:color="auto" w:fill="FFFFFF"/>
        </w:rPr>
        <w:t>14.1  定期报告。</w:t>
      </w:r>
    </w:p>
    <w:p>
      <w:pPr>
        <w:spacing w:line="360" w:lineRule="auto"/>
        <w:ind w:firstLine="560" w:firstLineChars="200"/>
        <w:rPr>
          <w:rFonts w:hint="eastAsia" w:ascii="仿宋_GB2312" w:hAnsi="仿宋_GB2312" w:eastAsia="仿宋_GB2312"/>
          <w:bCs/>
          <w:sz w:val="28"/>
          <w:szCs w:val="28"/>
          <w:shd w:val="clear" w:color="auto" w:fill="FFFFFF"/>
        </w:rPr>
      </w:pPr>
      <w:r>
        <w:rPr>
          <w:rFonts w:hint="eastAsia" w:ascii="仿宋_GB2312" w:hAnsi="仿宋_GB2312" w:eastAsia="仿宋_GB2312"/>
          <w:sz w:val="28"/>
          <w:szCs w:val="28"/>
          <w:shd w:val="clear" w:color="auto" w:fill="FFFFFF"/>
        </w:rPr>
        <w:t>乙方应当在每季度结束后15日内向甲方提交经托管人确认财务管理数据的企业年金基金投资组合季度报告。并应当在年度结束后45日内向甲方提交经托管人确认财务管理数据的企业年金基金投资管理年度报告。</w:t>
      </w:r>
      <w:r>
        <w:rPr>
          <w:rFonts w:hint="eastAsia" w:ascii="仿宋_GB2312" w:hAnsi="仿宋_GB2312" w:eastAsia="仿宋_GB2312"/>
          <w:bCs/>
          <w:sz w:val="28"/>
          <w:szCs w:val="28"/>
          <w:shd w:val="clear" w:color="auto" w:fill="FFFFFF"/>
        </w:rPr>
        <w:t>企业年金基金投资管理报告格式及内容以人力资源社会保障部规定为准。</w:t>
      </w:r>
    </w:p>
    <w:p>
      <w:pPr>
        <w:spacing w:line="360" w:lineRule="auto"/>
        <w:ind w:firstLine="560" w:firstLineChars="200"/>
        <w:rPr>
          <w:rFonts w:hint="eastAsia" w:ascii="仿宋_GB2312" w:eastAsia="仿宋_GB2312"/>
          <w:sz w:val="28"/>
          <w:szCs w:val="28"/>
          <w:shd w:val="clear" w:color="auto" w:fill="FFFFFF"/>
        </w:rPr>
      </w:pPr>
      <w:r>
        <w:rPr>
          <w:rFonts w:hint="eastAsia" w:ascii="仿宋_GB2312" w:eastAsia="仿宋_GB2312"/>
          <w:sz w:val="28"/>
          <w:szCs w:val="28"/>
          <w:shd w:val="clear" w:color="auto" w:fill="FFFFFF"/>
        </w:rPr>
        <w:t>委托年金资产运作不满3个月的，不提供企业年金基金投资组合季度报告和年度报告。</w:t>
      </w:r>
    </w:p>
    <w:p>
      <w:pPr>
        <w:spacing w:line="360" w:lineRule="auto"/>
        <w:ind w:firstLine="560" w:firstLineChars="200"/>
        <w:rPr>
          <w:rFonts w:hint="eastAsia" w:ascii="仿宋_GB2312" w:eastAsia="仿宋_GB2312"/>
          <w:sz w:val="28"/>
          <w:szCs w:val="28"/>
          <w:shd w:val="clear" w:color="auto" w:fill="FFFFFF"/>
        </w:rPr>
      </w:pPr>
      <w:r>
        <w:rPr>
          <w:rFonts w:hint="eastAsia" w:ascii="仿宋_GB2312" w:eastAsia="仿宋_GB2312"/>
          <w:sz w:val="28"/>
          <w:szCs w:val="28"/>
          <w:shd w:val="clear" w:color="auto" w:fill="FFFFFF"/>
        </w:rPr>
        <w:t>14.2  临时报告。</w:t>
      </w:r>
    </w:p>
    <w:p>
      <w:pPr>
        <w:spacing w:line="360" w:lineRule="auto"/>
        <w:ind w:firstLine="560" w:firstLineChars="200"/>
        <w:rPr>
          <w:rFonts w:hint="eastAsia" w:ascii="仿宋_GB2312" w:eastAsia="仿宋_GB2312"/>
          <w:sz w:val="28"/>
          <w:szCs w:val="28"/>
          <w:shd w:val="clear" w:color="auto" w:fill="FFFFFF"/>
        </w:rPr>
      </w:pPr>
      <w:r>
        <w:rPr>
          <w:rFonts w:hint="eastAsia" w:ascii="仿宋_GB2312" w:eastAsia="仿宋_GB2312"/>
          <w:sz w:val="28"/>
          <w:szCs w:val="28"/>
          <w:shd w:val="clear" w:color="auto" w:fill="FFFFFF"/>
        </w:rPr>
        <w:t xml:space="preserve">14.2.1  </w:t>
      </w:r>
      <w:r>
        <w:rPr>
          <w:rFonts w:hint="eastAsia" w:ascii="仿宋_GB2312" w:hAnsi="宋体" w:eastAsia="仿宋_GB2312"/>
          <w:sz w:val="28"/>
          <w:szCs w:val="28"/>
          <w:shd w:val="clear" w:color="auto" w:fill="FFFFFF"/>
        </w:rPr>
        <w:t>乙方在履行本合同过程中，如遇法律法规规定的临时报告事项，应当自知晓或者应当知晓该事件发生之日起3个工作日内向甲方报告，</w:t>
      </w:r>
      <w:r>
        <w:rPr>
          <w:rFonts w:hint="eastAsia" w:ascii="仿宋_GB2312" w:eastAsia="仿宋_GB2312"/>
          <w:sz w:val="28"/>
          <w:szCs w:val="28"/>
          <w:shd w:val="clear" w:color="auto" w:fill="FFFFFF"/>
        </w:rPr>
        <w:t>临时报告事项包括但不限于：</w:t>
      </w:r>
    </w:p>
    <w:p>
      <w:pPr>
        <w:spacing w:line="360" w:lineRule="auto"/>
        <w:ind w:firstLine="560" w:firstLineChars="200"/>
        <w:rPr>
          <w:rFonts w:hint="eastAsia" w:ascii="仿宋_GB2312" w:eastAsia="仿宋_GB2312"/>
          <w:sz w:val="28"/>
          <w:szCs w:val="28"/>
          <w:shd w:val="clear" w:color="auto" w:fill="FFFFFF"/>
        </w:rPr>
      </w:pPr>
      <w:r>
        <w:rPr>
          <w:rFonts w:hint="eastAsia" w:ascii="仿宋_GB2312" w:eastAsia="仿宋_GB2312"/>
          <w:sz w:val="28"/>
          <w:szCs w:val="28"/>
          <w:shd w:val="clear" w:color="auto" w:fill="FFFFFF"/>
        </w:rPr>
        <w:t>14.2.1.1  委托投资资产净值在一天内的下跌幅度在</w:t>
      </w:r>
      <w:r>
        <w:rPr>
          <w:rFonts w:hint="eastAsia" w:ascii="仿宋_GB2312" w:eastAsia="仿宋_GB2312"/>
          <w:sz w:val="28"/>
          <w:szCs w:val="28"/>
          <w:u w:val="single"/>
          <w:shd w:val="clear" w:color="auto" w:fill="FFFFFF"/>
        </w:rPr>
        <w:t xml:space="preserve">  </w:t>
      </w:r>
      <w:r>
        <w:rPr>
          <w:rFonts w:hint="eastAsia" w:ascii="仿宋_GB2312" w:eastAsia="仿宋_GB2312"/>
          <w:sz w:val="28"/>
          <w:szCs w:val="28"/>
          <w:shd w:val="clear" w:color="auto" w:fill="FFFFFF"/>
        </w:rPr>
        <w:t xml:space="preserve"> %（含）以上或连续5个交易日的区间内下跌幅度在</w:t>
      </w:r>
      <w:r>
        <w:rPr>
          <w:rFonts w:hint="eastAsia" w:ascii="仿宋_GB2312" w:eastAsia="仿宋_GB2312"/>
          <w:sz w:val="28"/>
          <w:szCs w:val="28"/>
          <w:u w:val="single"/>
          <w:shd w:val="clear" w:color="auto" w:fill="FFFFFF"/>
        </w:rPr>
        <w:t xml:space="preserve">  </w:t>
      </w:r>
      <w:r>
        <w:rPr>
          <w:rFonts w:hint="eastAsia" w:ascii="仿宋_GB2312" w:eastAsia="仿宋_GB2312"/>
          <w:sz w:val="28"/>
          <w:szCs w:val="28"/>
          <w:shd w:val="clear" w:color="auto" w:fill="FFFFFF"/>
        </w:rPr>
        <w:t>%以上；</w:t>
      </w:r>
    </w:p>
    <w:p>
      <w:pPr>
        <w:spacing w:line="360" w:lineRule="auto"/>
        <w:ind w:firstLine="560" w:firstLineChars="200"/>
        <w:rPr>
          <w:rFonts w:hint="eastAsia" w:ascii="仿宋_GB2312" w:eastAsia="仿宋_GB2312"/>
          <w:sz w:val="28"/>
          <w:szCs w:val="28"/>
          <w:shd w:val="clear" w:color="auto" w:fill="FFFFFF"/>
        </w:rPr>
      </w:pPr>
      <w:r>
        <w:rPr>
          <w:rFonts w:hint="eastAsia" w:ascii="仿宋_GB2312" w:eastAsia="仿宋_GB2312"/>
          <w:sz w:val="28"/>
          <w:szCs w:val="28"/>
          <w:shd w:val="clear" w:color="auto" w:fill="FFFFFF"/>
        </w:rPr>
        <w:t>14.2.1.2  乙方减资、分立、合并、解散、依法被裁撤、决定申请破产；</w:t>
      </w:r>
    </w:p>
    <w:p>
      <w:pPr>
        <w:spacing w:line="360" w:lineRule="auto"/>
        <w:ind w:firstLine="560" w:firstLineChars="200"/>
        <w:rPr>
          <w:rFonts w:hint="eastAsia" w:ascii="仿宋_GB2312" w:eastAsia="仿宋_GB2312"/>
          <w:sz w:val="28"/>
          <w:szCs w:val="28"/>
          <w:shd w:val="clear" w:color="auto" w:fill="FFFFFF"/>
        </w:rPr>
      </w:pPr>
      <w:r>
        <w:rPr>
          <w:rFonts w:hint="eastAsia" w:ascii="仿宋_GB2312" w:eastAsia="仿宋_GB2312"/>
          <w:sz w:val="28"/>
          <w:szCs w:val="28"/>
          <w:shd w:val="clear" w:color="auto" w:fill="FFFFFF"/>
        </w:rPr>
        <w:t>14.2.1.3  乙方的主要股东、重大股权变动、注册地、注册资本、公司名称变动；</w:t>
      </w:r>
    </w:p>
    <w:p>
      <w:pPr>
        <w:spacing w:line="360" w:lineRule="auto"/>
        <w:ind w:firstLine="560" w:firstLineChars="200"/>
        <w:rPr>
          <w:rFonts w:hint="eastAsia" w:ascii="仿宋_GB2312" w:eastAsia="仿宋_GB2312"/>
          <w:sz w:val="28"/>
          <w:szCs w:val="28"/>
          <w:shd w:val="clear" w:color="auto" w:fill="FFFFFF"/>
        </w:rPr>
      </w:pPr>
      <w:r>
        <w:rPr>
          <w:rFonts w:hint="eastAsia" w:ascii="仿宋_GB2312" w:eastAsia="仿宋_GB2312"/>
          <w:sz w:val="28"/>
          <w:szCs w:val="28"/>
          <w:shd w:val="clear" w:color="auto" w:fill="FFFFFF"/>
        </w:rPr>
        <w:t>14.2.1.4  乙方的董事长、总经理、直接负责企业年金业务的高级管理人员变动；</w:t>
      </w:r>
    </w:p>
    <w:p>
      <w:pPr>
        <w:spacing w:line="360" w:lineRule="auto"/>
        <w:ind w:firstLine="560" w:firstLineChars="200"/>
        <w:rPr>
          <w:rFonts w:hint="eastAsia" w:ascii="仿宋_GB2312" w:eastAsia="仿宋_GB2312"/>
          <w:sz w:val="28"/>
          <w:szCs w:val="28"/>
          <w:shd w:val="clear" w:color="auto" w:fill="FFFFFF"/>
        </w:rPr>
      </w:pPr>
      <w:r>
        <w:rPr>
          <w:rFonts w:hint="eastAsia" w:ascii="仿宋_GB2312" w:eastAsia="仿宋_GB2312"/>
          <w:sz w:val="28"/>
          <w:szCs w:val="28"/>
          <w:shd w:val="clear" w:color="auto" w:fill="FFFFFF"/>
        </w:rPr>
        <w:t>14.2.1.5  乙方重大经营损失；</w:t>
      </w:r>
    </w:p>
    <w:p>
      <w:pPr>
        <w:spacing w:line="360" w:lineRule="auto"/>
        <w:ind w:firstLine="560" w:firstLineChars="200"/>
        <w:rPr>
          <w:rFonts w:hint="eastAsia" w:ascii="仿宋_GB2312" w:eastAsia="仿宋_GB2312"/>
          <w:sz w:val="28"/>
          <w:szCs w:val="28"/>
          <w:shd w:val="clear" w:color="auto" w:fill="FFFFFF"/>
        </w:rPr>
      </w:pPr>
      <w:r>
        <w:rPr>
          <w:rFonts w:hint="eastAsia" w:ascii="仿宋_GB2312" w:eastAsia="仿宋_GB2312"/>
          <w:sz w:val="28"/>
          <w:szCs w:val="28"/>
          <w:shd w:val="clear" w:color="auto" w:fill="FFFFFF"/>
        </w:rPr>
        <w:t>14.2.1.6  乙方及其企业年金从业人员涉嫌犯罪被司法机关立案调查或受到监管机构处罚；</w:t>
      </w:r>
    </w:p>
    <w:p>
      <w:pPr>
        <w:spacing w:line="360" w:lineRule="auto"/>
        <w:ind w:firstLine="560" w:firstLineChars="200"/>
        <w:rPr>
          <w:rFonts w:hint="eastAsia" w:ascii="仿宋_GB2312" w:eastAsia="仿宋_GB2312"/>
          <w:sz w:val="28"/>
          <w:szCs w:val="28"/>
          <w:shd w:val="clear" w:color="auto" w:fill="FFFFFF"/>
        </w:rPr>
      </w:pPr>
      <w:r>
        <w:rPr>
          <w:rFonts w:hint="eastAsia" w:ascii="仿宋_GB2312" w:eastAsia="仿宋_GB2312"/>
          <w:sz w:val="28"/>
          <w:szCs w:val="28"/>
          <w:shd w:val="clear" w:color="auto" w:fill="FFFFFF"/>
        </w:rPr>
        <w:t>14.2.1.7  涉及企业年金基金财产的诉讼或仲裁；</w:t>
      </w:r>
    </w:p>
    <w:p>
      <w:pPr>
        <w:spacing w:line="360" w:lineRule="auto"/>
        <w:ind w:firstLine="560" w:firstLineChars="200"/>
        <w:rPr>
          <w:rFonts w:hint="eastAsia" w:ascii="仿宋_GB2312" w:eastAsia="仿宋_GB2312"/>
          <w:sz w:val="28"/>
          <w:szCs w:val="28"/>
          <w:shd w:val="clear" w:color="auto" w:fill="FFFFFF"/>
        </w:rPr>
      </w:pPr>
      <w:r>
        <w:rPr>
          <w:rFonts w:hint="eastAsia" w:ascii="仿宋_GB2312" w:eastAsia="仿宋_GB2312"/>
          <w:sz w:val="28"/>
          <w:szCs w:val="28"/>
          <w:shd w:val="clear" w:color="auto" w:fill="FFFFFF"/>
        </w:rPr>
        <w:t>14.2.1.8  乙方在企业年金基金财产运作中有违反法律法规的行为；</w:t>
      </w:r>
    </w:p>
    <w:p>
      <w:pPr>
        <w:spacing w:line="360" w:lineRule="auto"/>
        <w:ind w:firstLine="560" w:firstLineChars="200"/>
        <w:rPr>
          <w:rFonts w:hint="eastAsia" w:ascii="仿宋_GB2312" w:eastAsia="仿宋_GB2312"/>
          <w:sz w:val="28"/>
          <w:szCs w:val="28"/>
          <w:shd w:val="clear" w:color="auto" w:fill="FFFFFF"/>
        </w:rPr>
      </w:pPr>
      <w:r>
        <w:rPr>
          <w:rFonts w:hint="eastAsia" w:ascii="仿宋_GB2312" w:eastAsia="仿宋_GB2312"/>
          <w:sz w:val="28"/>
          <w:szCs w:val="28"/>
          <w:shd w:val="clear" w:color="auto" w:fill="FFFFFF"/>
        </w:rPr>
        <w:t>14.2.1.9  乙方在企业年金基金财产运作中有违反相关合同的行为；</w:t>
      </w:r>
    </w:p>
    <w:p>
      <w:pPr>
        <w:spacing w:line="360" w:lineRule="auto"/>
        <w:ind w:firstLine="560" w:firstLineChars="200"/>
        <w:rPr>
          <w:rFonts w:hint="eastAsia" w:ascii="仿宋_GB2312" w:hAnsi="宋体" w:eastAsia="仿宋_GB2312"/>
          <w:color w:val="000000"/>
          <w:sz w:val="28"/>
          <w:szCs w:val="28"/>
          <w:shd w:val="clear" w:color="auto" w:fill="FFFFFF"/>
        </w:rPr>
      </w:pPr>
      <w:r>
        <w:rPr>
          <w:rFonts w:hint="eastAsia" w:ascii="仿宋_GB2312" w:eastAsia="仿宋_GB2312"/>
          <w:sz w:val="28"/>
          <w:szCs w:val="28"/>
          <w:shd w:val="clear" w:color="auto" w:fill="FFFFFF"/>
        </w:rPr>
        <w:t xml:space="preserve">14.2.1.10  </w:t>
      </w:r>
      <w:r>
        <w:rPr>
          <w:rFonts w:hint="eastAsia" w:ascii="仿宋_GB2312" w:hAnsi="宋体" w:eastAsia="仿宋_GB2312"/>
          <w:color w:val="000000"/>
          <w:sz w:val="28"/>
          <w:szCs w:val="28"/>
          <w:shd w:val="clear" w:color="auto" w:fill="FFFFFF"/>
        </w:rPr>
        <w:t>有可能使企业年金基金财产受到重大影响的其他事项；</w:t>
      </w:r>
    </w:p>
    <w:p>
      <w:pPr>
        <w:pStyle w:val="8"/>
        <w:spacing w:line="360" w:lineRule="auto"/>
        <w:ind w:firstLine="560" w:firstLineChars="200"/>
        <w:rPr>
          <w:rFonts w:hint="eastAsia" w:ascii="仿宋_GB2312" w:hAnsi="宋体" w:eastAsia="仿宋_GB2312"/>
          <w:color w:val="000000"/>
          <w:sz w:val="28"/>
          <w:szCs w:val="28"/>
          <w:shd w:val="clear" w:color="auto" w:fill="FFFFFF"/>
        </w:rPr>
      </w:pPr>
      <w:r>
        <w:rPr>
          <w:rFonts w:hint="eastAsia" w:ascii="仿宋_GB2312" w:hAnsi="宋体" w:eastAsia="仿宋_GB2312"/>
          <w:color w:val="000000"/>
          <w:sz w:val="28"/>
          <w:szCs w:val="28"/>
          <w:shd w:val="clear" w:color="auto" w:fill="FFFFFF"/>
        </w:rPr>
        <w:t>14.2.1.11  合同约定其他需要报告的内容；</w:t>
      </w:r>
    </w:p>
    <w:p>
      <w:pPr>
        <w:pStyle w:val="8"/>
        <w:spacing w:line="360" w:lineRule="auto"/>
        <w:ind w:firstLine="560" w:firstLineChars="200"/>
        <w:rPr>
          <w:rFonts w:hint="eastAsia" w:ascii="仿宋_GB2312" w:hAnsi="宋体" w:eastAsia="仿宋_GB2312"/>
          <w:color w:val="000000"/>
          <w:sz w:val="28"/>
          <w:szCs w:val="28"/>
          <w:shd w:val="clear" w:color="auto" w:fill="FFFFFF"/>
        </w:rPr>
      </w:pPr>
      <w:r>
        <w:rPr>
          <w:rFonts w:hint="eastAsia" w:ascii="仿宋_GB2312" w:hAnsi="宋体" w:eastAsia="仿宋_GB2312"/>
          <w:color w:val="000000"/>
          <w:sz w:val="28"/>
          <w:szCs w:val="28"/>
          <w:shd w:val="clear" w:color="auto" w:fill="FFFFFF"/>
        </w:rPr>
        <w:t>14.2.1.12  法律法规规定或人力资源社会保障部要求报告的其他事项。</w:t>
      </w:r>
    </w:p>
    <w:p>
      <w:pPr>
        <w:pStyle w:val="8"/>
        <w:spacing w:line="360" w:lineRule="auto"/>
        <w:ind w:firstLine="560" w:firstLineChars="200"/>
        <w:rPr>
          <w:rFonts w:hint="eastAsia" w:ascii="仿宋_GB2312" w:hAnsi="宋体" w:eastAsia="仿宋_GB2312"/>
          <w:color w:val="000000"/>
          <w:sz w:val="28"/>
          <w:szCs w:val="28"/>
          <w:shd w:val="clear" w:color="auto" w:fill="FFFFFF"/>
        </w:rPr>
      </w:pPr>
      <w:r>
        <w:rPr>
          <w:rFonts w:hint="eastAsia" w:ascii="仿宋_GB2312" w:hAnsi="宋体" w:eastAsia="仿宋_GB2312"/>
          <w:color w:val="000000"/>
          <w:sz w:val="28"/>
          <w:szCs w:val="28"/>
          <w:shd w:val="clear" w:color="auto" w:fill="FFFFFF"/>
        </w:rPr>
        <w:t>14.2.2  当出现上述第14.2.1.2款至第14.2.1.8款事项时,乙方除向甲方报告外，应当自知晓或者应当知晓该事项发生之日起5个工作日内，向人力资源社会保障部报告。</w:t>
      </w:r>
    </w:p>
    <w:p>
      <w:pPr>
        <w:pStyle w:val="8"/>
        <w:spacing w:line="360" w:lineRule="auto"/>
        <w:ind w:firstLine="560" w:firstLineChars="200"/>
        <w:rPr>
          <w:rFonts w:hint="eastAsia" w:ascii="仿宋_GB2312" w:hAnsi="宋体" w:eastAsia="仿宋_GB2312"/>
          <w:color w:val="000000"/>
          <w:sz w:val="28"/>
          <w:szCs w:val="28"/>
          <w:shd w:val="clear" w:color="auto" w:fill="FFFFFF"/>
        </w:rPr>
      </w:pPr>
      <w:r>
        <w:rPr>
          <w:rFonts w:hint="eastAsia" w:ascii="仿宋_GB2312" w:hAnsi="宋体" w:eastAsia="仿宋_GB2312"/>
          <w:color w:val="000000"/>
          <w:sz w:val="28"/>
          <w:szCs w:val="28"/>
          <w:shd w:val="clear" w:color="auto" w:fill="FFFFFF"/>
        </w:rPr>
        <w:t>14.3  职责终止报告。</w:t>
      </w:r>
    </w:p>
    <w:p>
      <w:pPr>
        <w:pStyle w:val="8"/>
        <w:spacing w:line="360" w:lineRule="auto"/>
        <w:ind w:firstLine="560" w:firstLineChars="200"/>
        <w:rPr>
          <w:rFonts w:hint="eastAsia" w:ascii="仿宋_GB2312" w:hAnsi="宋体" w:eastAsia="仿宋_GB2312"/>
          <w:color w:val="000000"/>
          <w:sz w:val="28"/>
          <w:szCs w:val="28"/>
          <w:shd w:val="clear" w:color="auto" w:fill="FFFFFF"/>
        </w:rPr>
      </w:pPr>
      <w:r>
        <w:rPr>
          <w:rFonts w:hint="eastAsia" w:ascii="仿宋_GB2312" w:hAnsi="宋体" w:eastAsia="仿宋_GB2312"/>
          <w:color w:val="000000"/>
          <w:sz w:val="28"/>
          <w:szCs w:val="28"/>
          <w:shd w:val="clear" w:color="auto" w:fill="FFFFFF"/>
        </w:rPr>
        <w:t>乙方职责终止时，乙方应当自职责终止后40日内向甲方提交企业年金基金管理情况报告。该报告应当说明职责终止原因、未尽事项及处理建议等。</w:t>
      </w:r>
    </w:p>
    <w:p>
      <w:pPr>
        <w:pStyle w:val="8"/>
        <w:spacing w:line="360" w:lineRule="auto"/>
        <w:ind w:firstLine="560" w:firstLineChars="200"/>
        <w:rPr>
          <w:rFonts w:hint="eastAsia" w:ascii="仿宋_GB2312" w:eastAsia="仿宋_GB2312"/>
          <w:sz w:val="28"/>
          <w:szCs w:val="28"/>
          <w:shd w:val="clear" w:color="auto" w:fill="FFFFFF"/>
        </w:rPr>
      </w:pPr>
      <w:r>
        <w:rPr>
          <w:rFonts w:hint="eastAsia" w:ascii="仿宋_GB2312" w:eastAsia="仿宋_GB2312"/>
          <w:sz w:val="28"/>
          <w:szCs w:val="28"/>
          <w:shd w:val="clear" w:color="auto" w:fill="FFFFFF"/>
        </w:rPr>
        <w:t>14.4  信息披露方式。</w:t>
      </w:r>
    </w:p>
    <w:p>
      <w:pPr>
        <w:pStyle w:val="8"/>
        <w:spacing w:line="360" w:lineRule="auto"/>
        <w:ind w:firstLine="560" w:firstLineChars="200"/>
        <w:rPr>
          <w:rFonts w:hint="eastAsia" w:ascii="仿宋_GB2312" w:eastAsia="仿宋_GB2312"/>
          <w:sz w:val="28"/>
          <w:szCs w:val="28"/>
          <w:shd w:val="clear" w:color="auto" w:fill="FFFFFF"/>
        </w:rPr>
      </w:pPr>
      <w:r>
        <w:rPr>
          <w:rFonts w:hint="eastAsia" w:ascii="仿宋_GB2312" w:eastAsia="仿宋_GB2312"/>
          <w:sz w:val="28"/>
          <w:szCs w:val="28"/>
          <w:shd w:val="clear" w:color="auto" w:fill="FFFFFF"/>
        </w:rPr>
        <w:t>14.4.1  信息报告与披露采取纸质文本或电子文本的方式。</w:t>
      </w:r>
    </w:p>
    <w:p>
      <w:pPr>
        <w:pStyle w:val="8"/>
        <w:spacing w:line="360" w:lineRule="auto"/>
        <w:ind w:firstLine="560" w:firstLineChars="200"/>
        <w:rPr>
          <w:rFonts w:hint="eastAsia" w:ascii="仿宋_GB2312" w:eastAsia="仿宋_GB2312"/>
          <w:sz w:val="28"/>
          <w:szCs w:val="28"/>
          <w:shd w:val="clear" w:color="auto" w:fill="FFFFFF"/>
        </w:rPr>
      </w:pPr>
      <w:r>
        <w:rPr>
          <w:rFonts w:hint="eastAsia" w:ascii="仿宋_GB2312" w:eastAsia="仿宋_GB2312"/>
          <w:sz w:val="28"/>
          <w:szCs w:val="28"/>
          <w:shd w:val="clear" w:color="auto" w:fill="FFFFFF"/>
        </w:rPr>
        <w:t xml:space="preserve">14.4.2 乙方应当按照规定报告企业年金基金投资管理情况，并对报告内容真实性、完整性负责。 </w:t>
      </w:r>
    </w:p>
    <w:p>
      <w:pPr>
        <w:pStyle w:val="8"/>
        <w:spacing w:line="360" w:lineRule="auto"/>
        <w:ind w:firstLine="560" w:firstLineChars="200"/>
        <w:rPr>
          <w:rFonts w:hint="eastAsia" w:ascii="仿宋_GB2312" w:hAnsi="宋体" w:eastAsia="仿宋_GB2312"/>
          <w:color w:val="000000"/>
          <w:sz w:val="28"/>
          <w:szCs w:val="28"/>
          <w:shd w:val="clear" w:color="auto" w:fill="FFFFFF"/>
        </w:rPr>
      </w:pPr>
      <w:r>
        <w:rPr>
          <w:rFonts w:hint="eastAsia" w:ascii="仿宋_GB2312" w:eastAsia="仿宋_GB2312"/>
          <w:sz w:val="28"/>
          <w:szCs w:val="28"/>
          <w:shd w:val="clear" w:color="auto" w:fill="FFFFFF"/>
        </w:rPr>
        <w:t>14.4.3 甲方违反本合同约定，逾期30日仍未支付投资管理费，乙方有权停止向甲方提供本企业年金计划信息披露义务。</w:t>
      </w:r>
      <w:r>
        <w:rPr>
          <w:rFonts w:hint="eastAsia" w:ascii="仿宋_GB2312" w:hAnsi="Times New Roman" w:eastAsia="仿宋_GB2312" w:cs="Times New Roman"/>
          <w:sz w:val="28"/>
          <w:szCs w:val="28"/>
          <w:shd w:val="clear" w:color="auto" w:fill="FFFFFF"/>
        </w:rPr>
        <w:t>乙方</w:t>
      </w:r>
      <w:r>
        <w:rPr>
          <w:rFonts w:hint="eastAsia" w:ascii="仿宋_GB2312" w:eastAsia="仿宋_GB2312"/>
          <w:sz w:val="28"/>
          <w:szCs w:val="28"/>
          <w:shd w:val="clear" w:color="auto" w:fill="FFFFFF"/>
        </w:rPr>
        <w:t>应当</w:t>
      </w:r>
      <w:r>
        <w:rPr>
          <w:rFonts w:hint="eastAsia" w:ascii="仿宋_GB2312" w:hAnsi="Times New Roman" w:eastAsia="仿宋_GB2312" w:cs="Times New Roman"/>
          <w:sz w:val="28"/>
          <w:szCs w:val="28"/>
          <w:shd w:val="clear" w:color="auto" w:fill="FFFFFF"/>
        </w:rPr>
        <w:t>在暂停提供服务前的5个工作日书面通知甲方。</w:t>
      </w:r>
    </w:p>
    <w:p>
      <w:pPr>
        <w:pStyle w:val="2"/>
        <w:jc w:val="center"/>
        <w:rPr>
          <w:rFonts w:hint="eastAsia" w:ascii="黑体" w:eastAsia="黑体"/>
          <w:b w:val="0"/>
          <w:sz w:val="28"/>
          <w:szCs w:val="28"/>
          <w:shd w:val="clear" w:color="auto" w:fill="FFFFFF"/>
        </w:rPr>
      </w:pPr>
      <w:bookmarkStart w:id="26" w:name="_Toc319934294"/>
      <w:r>
        <w:rPr>
          <w:rFonts w:hint="eastAsia" w:ascii="黑体" w:eastAsia="黑体"/>
          <w:b w:val="0"/>
          <w:sz w:val="28"/>
          <w:szCs w:val="28"/>
          <w:shd w:val="clear" w:color="auto" w:fill="FFFFFF"/>
        </w:rPr>
        <w:t>第十五章  禁止行为</w:t>
      </w:r>
      <w:bookmarkEnd w:id="26"/>
    </w:p>
    <w:p>
      <w:pPr>
        <w:spacing w:line="360" w:lineRule="auto"/>
        <w:ind w:firstLine="560" w:firstLineChars="200"/>
        <w:rPr>
          <w:rFonts w:hint="eastAsia" w:ascii="仿宋_GB2312" w:eastAsia="仿宋_GB2312"/>
          <w:sz w:val="28"/>
          <w:szCs w:val="28"/>
          <w:shd w:val="clear" w:color="auto" w:fill="FFFFFF"/>
        </w:rPr>
      </w:pPr>
      <w:r>
        <w:rPr>
          <w:rFonts w:hint="eastAsia" w:ascii="仿宋_GB2312" w:eastAsia="仿宋_GB2312"/>
          <w:sz w:val="28"/>
          <w:szCs w:val="28"/>
          <w:shd w:val="clear" w:color="auto" w:fill="FFFFFF"/>
        </w:rPr>
        <w:t>本合同当事人禁止从事的行为，包括但不限于：</w:t>
      </w:r>
    </w:p>
    <w:p>
      <w:pPr>
        <w:spacing w:line="360" w:lineRule="auto"/>
        <w:ind w:firstLine="560" w:firstLineChars="200"/>
        <w:rPr>
          <w:rFonts w:hint="eastAsia" w:ascii="仿宋_GB2312" w:eastAsia="仿宋_GB2312"/>
          <w:sz w:val="28"/>
          <w:szCs w:val="28"/>
          <w:shd w:val="clear" w:color="auto" w:fill="FFFFFF"/>
        </w:rPr>
      </w:pPr>
      <w:r>
        <w:rPr>
          <w:rFonts w:hint="eastAsia" w:ascii="仿宋_GB2312" w:eastAsia="仿宋_GB2312"/>
          <w:sz w:val="28"/>
          <w:szCs w:val="28"/>
          <w:shd w:val="clear" w:color="auto" w:fill="FFFFFF"/>
        </w:rPr>
        <w:t>15.1  提供虚假信息；</w:t>
      </w:r>
    </w:p>
    <w:p>
      <w:pPr>
        <w:spacing w:line="360" w:lineRule="auto"/>
        <w:ind w:firstLine="560" w:firstLineChars="200"/>
        <w:rPr>
          <w:rFonts w:hint="eastAsia" w:ascii="仿宋_GB2312" w:eastAsia="仿宋_GB2312"/>
          <w:sz w:val="28"/>
          <w:szCs w:val="28"/>
          <w:shd w:val="clear" w:color="auto" w:fill="FFFFFF"/>
        </w:rPr>
      </w:pPr>
      <w:r>
        <w:rPr>
          <w:rFonts w:hint="eastAsia" w:ascii="仿宋_GB2312" w:eastAsia="仿宋_GB2312"/>
          <w:sz w:val="28"/>
          <w:szCs w:val="28"/>
          <w:shd w:val="clear" w:color="auto" w:fill="FFFFFF"/>
        </w:rPr>
        <w:t>15.2  将其固有财产或者他人财产混同于企业年金基金财产；</w:t>
      </w:r>
    </w:p>
    <w:p>
      <w:pPr>
        <w:spacing w:line="360" w:lineRule="auto"/>
        <w:ind w:firstLine="560" w:firstLineChars="200"/>
        <w:rPr>
          <w:rFonts w:hint="eastAsia" w:ascii="仿宋_GB2312" w:eastAsia="仿宋_GB2312"/>
          <w:sz w:val="28"/>
          <w:szCs w:val="28"/>
          <w:shd w:val="clear" w:color="auto" w:fill="FFFFFF"/>
        </w:rPr>
      </w:pPr>
      <w:r>
        <w:rPr>
          <w:rFonts w:hint="eastAsia" w:ascii="仿宋_GB2312" w:eastAsia="仿宋_GB2312"/>
          <w:sz w:val="28"/>
          <w:szCs w:val="28"/>
          <w:shd w:val="clear" w:color="auto" w:fill="FFFFFF"/>
        </w:rPr>
        <w:t>15.3  不公平对待企业年金基金财产与其管理的其他财产；</w:t>
      </w:r>
    </w:p>
    <w:p>
      <w:pPr>
        <w:spacing w:line="360" w:lineRule="auto"/>
        <w:ind w:firstLine="560" w:firstLineChars="200"/>
        <w:rPr>
          <w:rFonts w:hint="eastAsia" w:ascii="仿宋_GB2312" w:eastAsia="仿宋_GB2312"/>
          <w:sz w:val="28"/>
          <w:szCs w:val="28"/>
          <w:shd w:val="clear" w:color="auto" w:fill="FFFFFF"/>
        </w:rPr>
      </w:pPr>
      <w:r>
        <w:rPr>
          <w:rFonts w:hint="eastAsia" w:ascii="仿宋_GB2312" w:eastAsia="仿宋_GB2312"/>
          <w:sz w:val="28"/>
          <w:szCs w:val="28"/>
          <w:shd w:val="clear" w:color="auto" w:fill="FFFFFF"/>
        </w:rPr>
        <w:t>15.5  侵占、挪用企业年金基金财产；</w:t>
      </w:r>
    </w:p>
    <w:p>
      <w:pPr>
        <w:spacing w:line="360" w:lineRule="auto"/>
        <w:ind w:firstLine="560" w:firstLineChars="200"/>
        <w:rPr>
          <w:rFonts w:hint="eastAsia" w:ascii="仿宋_GB2312" w:eastAsia="仿宋_GB2312"/>
          <w:sz w:val="28"/>
          <w:szCs w:val="28"/>
          <w:shd w:val="clear" w:color="auto" w:fill="FFFFFF"/>
        </w:rPr>
      </w:pPr>
      <w:r>
        <w:rPr>
          <w:rFonts w:hint="eastAsia" w:ascii="仿宋_GB2312" w:eastAsia="仿宋_GB2312"/>
          <w:sz w:val="28"/>
          <w:szCs w:val="28"/>
          <w:shd w:val="clear" w:color="auto" w:fill="FFFFFF"/>
        </w:rPr>
        <w:t>15.6  承诺、变相承诺保本或者保证收益；</w:t>
      </w:r>
    </w:p>
    <w:p>
      <w:pPr>
        <w:spacing w:line="360" w:lineRule="auto"/>
        <w:ind w:firstLine="560" w:firstLineChars="200"/>
        <w:rPr>
          <w:rFonts w:hint="eastAsia" w:ascii="仿宋_GB2312" w:eastAsia="仿宋_GB2312"/>
          <w:sz w:val="28"/>
          <w:szCs w:val="28"/>
          <w:shd w:val="clear" w:color="auto" w:fill="FFFFFF"/>
        </w:rPr>
      </w:pPr>
      <w:r>
        <w:rPr>
          <w:rFonts w:hint="eastAsia" w:ascii="仿宋_GB2312" w:eastAsia="仿宋_GB2312"/>
          <w:sz w:val="28"/>
          <w:szCs w:val="28"/>
          <w:shd w:val="clear" w:color="auto" w:fill="FFFFFF"/>
        </w:rPr>
        <w:t>15.7  利用所管理的其他资产为企业年金计划委托人或者相关管理人谋取不正当利益；</w:t>
      </w:r>
    </w:p>
    <w:p>
      <w:pPr>
        <w:spacing w:line="360" w:lineRule="auto"/>
        <w:ind w:firstLine="560" w:firstLineChars="200"/>
        <w:rPr>
          <w:rFonts w:hint="eastAsia" w:ascii="仿宋_GB2312" w:eastAsia="仿宋_GB2312"/>
          <w:sz w:val="28"/>
          <w:szCs w:val="28"/>
          <w:shd w:val="clear" w:color="auto" w:fill="FFFFFF"/>
        </w:rPr>
      </w:pPr>
      <w:r>
        <w:rPr>
          <w:rFonts w:hint="eastAsia" w:ascii="仿宋_GB2312" w:eastAsia="仿宋_GB2312"/>
          <w:sz w:val="28"/>
          <w:szCs w:val="28"/>
          <w:shd w:val="clear" w:color="auto" w:fill="FFFFFF"/>
        </w:rPr>
        <w:t>15.8  私自动用或处分基金财产；</w:t>
      </w:r>
    </w:p>
    <w:p>
      <w:pPr>
        <w:spacing w:line="360" w:lineRule="auto"/>
        <w:ind w:firstLine="560" w:firstLineChars="200"/>
        <w:rPr>
          <w:rFonts w:hint="eastAsia" w:ascii="仿宋_GB2312" w:eastAsia="仿宋_GB2312"/>
          <w:sz w:val="28"/>
          <w:szCs w:val="28"/>
          <w:shd w:val="clear" w:color="auto" w:fill="FFFFFF"/>
        </w:rPr>
      </w:pPr>
      <w:r>
        <w:rPr>
          <w:rFonts w:hint="eastAsia" w:ascii="仿宋_GB2312" w:eastAsia="仿宋_GB2312"/>
          <w:sz w:val="28"/>
          <w:szCs w:val="28"/>
          <w:shd w:val="clear" w:color="auto" w:fill="FFFFFF"/>
        </w:rPr>
        <w:t>15.9  将管理的委托投资资产产生的债权债务与其固有财产产生的债权债务相抵销；</w:t>
      </w:r>
    </w:p>
    <w:p>
      <w:pPr>
        <w:spacing w:line="360" w:lineRule="auto"/>
        <w:ind w:firstLine="560" w:firstLineChars="200"/>
        <w:rPr>
          <w:rFonts w:hint="eastAsia" w:ascii="仿宋_GB2312" w:eastAsia="仿宋_GB2312"/>
          <w:sz w:val="28"/>
          <w:szCs w:val="28"/>
          <w:shd w:val="clear" w:color="auto" w:fill="FFFFFF"/>
        </w:rPr>
      </w:pPr>
      <w:r>
        <w:rPr>
          <w:rFonts w:hint="eastAsia" w:ascii="仿宋_GB2312" w:eastAsia="仿宋_GB2312"/>
          <w:sz w:val="28"/>
          <w:szCs w:val="28"/>
          <w:shd w:val="clear" w:color="auto" w:fill="FFFFFF"/>
        </w:rPr>
        <w:t>15.10  将管理不同企业年金计划的委托投资资产产生的债权债务相抵销；</w:t>
      </w:r>
    </w:p>
    <w:p>
      <w:pPr>
        <w:spacing w:line="360" w:lineRule="auto"/>
        <w:ind w:firstLine="560" w:firstLineChars="200"/>
        <w:rPr>
          <w:rFonts w:hint="eastAsia" w:ascii="仿宋_GB2312" w:eastAsia="仿宋_GB2312"/>
          <w:sz w:val="28"/>
          <w:szCs w:val="28"/>
          <w:shd w:val="clear" w:color="auto" w:fill="FFFFFF"/>
        </w:rPr>
      </w:pPr>
      <w:r>
        <w:rPr>
          <w:rFonts w:hint="eastAsia" w:ascii="仿宋_GB2312" w:eastAsia="仿宋_GB2312"/>
          <w:sz w:val="28"/>
          <w:szCs w:val="28"/>
          <w:shd w:val="clear" w:color="auto" w:fill="FFFFFF"/>
        </w:rPr>
        <w:t>15.11  乙方在合同期内将委托投资资产转由第三方进行投资管理；</w:t>
      </w:r>
    </w:p>
    <w:p>
      <w:pPr>
        <w:spacing w:line="360" w:lineRule="auto"/>
        <w:ind w:firstLine="560" w:firstLineChars="200"/>
        <w:rPr>
          <w:rFonts w:hint="eastAsia" w:ascii="仿宋_GB2312" w:eastAsia="仿宋_GB2312"/>
          <w:sz w:val="28"/>
          <w:szCs w:val="28"/>
          <w:shd w:val="clear" w:color="auto" w:fill="FFFFFF"/>
        </w:rPr>
      </w:pPr>
      <w:r>
        <w:rPr>
          <w:rFonts w:hint="eastAsia" w:ascii="仿宋_GB2312" w:eastAsia="仿宋_GB2312"/>
          <w:sz w:val="28"/>
          <w:szCs w:val="28"/>
          <w:shd w:val="clear" w:color="auto" w:fill="FFFFFF"/>
        </w:rPr>
        <w:t>15.12  法律法规规定及本合同约定的其他禁止行为。</w:t>
      </w:r>
    </w:p>
    <w:p>
      <w:pPr>
        <w:pStyle w:val="2"/>
        <w:jc w:val="center"/>
        <w:rPr>
          <w:rFonts w:hint="eastAsia" w:ascii="黑体" w:eastAsia="黑体"/>
          <w:b w:val="0"/>
          <w:sz w:val="28"/>
          <w:szCs w:val="28"/>
          <w:shd w:val="clear" w:color="auto" w:fill="FFFFFF"/>
          <w:lang/>
        </w:rPr>
      </w:pPr>
      <w:bookmarkStart w:id="27" w:name="_Toc319934295"/>
      <w:r>
        <w:rPr>
          <w:rFonts w:hint="eastAsia" w:ascii="黑体" w:eastAsia="黑体"/>
          <w:b w:val="0"/>
          <w:sz w:val="28"/>
          <w:szCs w:val="28"/>
          <w:shd w:val="clear" w:color="auto" w:fill="FFFFFF"/>
          <w:lang/>
        </w:rPr>
        <w:t>第十六章  违约责任和免责条款</w:t>
      </w:r>
      <w:bookmarkEnd w:id="27"/>
    </w:p>
    <w:p>
      <w:pPr>
        <w:spacing w:line="360" w:lineRule="auto"/>
        <w:ind w:firstLine="560" w:firstLineChars="200"/>
        <w:rPr>
          <w:rFonts w:hint="eastAsia" w:ascii="仿宋_GB2312" w:eastAsia="仿宋_GB2312"/>
          <w:sz w:val="28"/>
          <w:szCs w:val="28"/>
          <w:shd w:val="clear" w:color="auto" w:fill="FFFFFF"/>
        </w:rPr>
      </w:pPr>
      <w:r>
        <w:rPr>
          <w:rFonts w:hint="eastAsia" w:ascii="仿宋_GB2312" w:eastAsia="仿宋_GB2312"/>
          <w:sz w:val="28"/>
          <w:szCs w:val="28"/>
          <w:shd w:val="clear" w:color="auto" w:fill="FFFFFF"/>
        </w:rPr>
        <w:t>16.1  甲方或乙方未履行本合同约定的义务，或一方在本合同中的声明与承诺严重失实或有重大遗漏，视为该方违约。违约方应当承担违约责任并赔偿因其违约而造成的损失。</w:t>
      </w:r>
    </w:p>
    <w:p>
      <w:pPr>
        <w:spacing w:line="360" w:lineRule="auto"/>
        <w:ind w:firstLine="560" w:firstLineChars="200"/>
        <w:rPr>
          <w:rFonts w:hint="eastAsia" w:ascii="仿宋_GB2312" w:eastAsia="仿宋_GB2312"/>
          <w:sz w:val="28"/>
          <w:szCs w:val="28"/>
          <w:shd w:val="clear" w:color="auto" w:fill="FFFFFF"/>
        </w:rPr>
      </w:pPr>
      <w:r>
        <w:rPr>
          <w:rFonts w:hint="eastAsia" w:ascii="仿宋_GB2312" w:eastAsia="仿宋_GB2312"/>
          <w:sz w:val="28"/>
          <w:szCs w:val="28"/>
          <w:shd w:val="clear" w:color="auto" w:fill="FFFFFF"/>
        </w:rPr>
        <w:t>16.2  甲方无正当理由不得干预乙方行使法律法规赋予的投资管理职责，如因甲方无故干预，导致企业年金基金财产受到损失的，乙方免除责任。</w:t>
      </w:r>
    </w:p>
    <w:p>
      <w:pPr>
        <w:spacing w:line="360" w:lineRule="auto"/>
        <w:ind w:firstLine="560" w:firstLineChars="200"/>
        <w:rPr>
          <w:rFonts w:hint="eastAsia" w:ascii="仿宋_GB2312" w:eastAsia="仿宋_GB2312"/>
          <w:sz w:val="28"/>
          <w:szCs w:val="28"/>
          <w:shd w:val="clear" w:color="auto" w:fill="FFFFFF"/>
        </w:rPr>
      </w:pPr>
      <w:r>
        <w:rPr>
          <w:rFonts w:hint="eastAsia" w:ascii="仿宋_GB2312" w:eastAsia="仿宋_GB2312"/>
          <w:sz w:val="28"/>
          <w:szCs w:val="28"/>
          <w:shd w:val="clear" w:color="auto" w:fill="FFFFFF"/>
        </w:rPr>
        <w:t>16.3  当事人一方因不可抗力不能履行本合同，根据不可抗力的影响，部分或全部免除违约责任，不能履行合同的一方应当及时通知对方，以减轻可能给企业年金基金财产及对方造成的损失，并应当在合理期限内提供不可抗力的证明。</w:t>
      </w:r>
    </w:p>
    <w:p>
      <w:pPr>
        <w:spacing w:line="360" w:lineRule="auto"/>
        <w:ind w:firstLine="560" w:firstLineChars="200"/>
        <w:rPr>
          <w:rFonts w:hint="eastAsia" w:ascii="仿宋_GB2312" w:eastAsia="仿宋_GB2312"/>
          <w:sz w:val="28"/>
          <w:szCs w:val="28"/>
          <w:shd w:val="clear" w:color="auto" w:fill="FFFFFF"/>
        </w:rPr>
      </w:pPr>
      <w:r>
        <w:rPr>
          <w:rFonts w:hint="eastAsia" w:ascii="仿宋_GB2312" w:eastAsia="仿宋_GB2312"/>
          <w:sz w:val="28"/>
          <w:szCs w:val="28"/>
          <w:shd w:val="clear" w:color="auto" w:fill="FFFFFF"/>
        </w:rPr>
        <w:t>16.4  本合同期间，除本合同规定原因外，甲乙双方不得擅自单方提前终止本合同，否则应当赔偿由此给委托投资资产及对方造成的损失。</w:t>
      </w:r>
    </w:p>
    <w:p>
      <w:pPr>
        <w:pStyle w:val="2"/>
        <w:jc w:val="center"/>
        <w:rPr>
          <w:rFonts w:hint="eastAsia" w:ascii="黑体" w:eastAsia="黑体"/>
          <w:b w:val="0"/>
          <w:sz w:val="28"/>
          <w:szCs w:val="28"/>
          <w:shd w:val="clear" w:color="auto" w:fill="FFFFFF"/>
          <w:lang/>
        </w:rPr>
      </w:pPr>
      <w:bookmarkStart w:id="28" w:name="_Toc293146994"/>
      <w:bookmarkStart w:id="29" w:name="_Toc319934296"/>
      <w:r>
        <w:rPr>
          <w:rFonts w:hint="eastAsia" w:ascii="黑体" w:eastAsia="黑体"/>
          <w:b w:val="0"/>
          <w:sz w:val="28"/>
          <w:szCs w:val="28"/>
          <w:shd w:val="clear" w:color="auto" w:fill="FFFFFF"/>
          <w:lang/>
        </w:rPr>
        <w:t>第十七章  争议的处理</w:t>
      </w:r>
      <w:bookmarkEnd w:id="28"/>
      <w:bookmarkEnd w:id="29"/>
    </w:p>
    <w:p>
      <w:pPr>
        <w:spacing w:line="360" w:lineRule="auto"/>
        <w:ind w:firstLine="560" w:firstLineChars="200"/>
        <w:rPr>
          <w:rFonts w:hint="eastAsia" w:ascii="仿宋_GB2312" w:eastAsia="仿宋_GB2312"/>
          <w:sz w:val="28"/>
          <w:szCs w:val="28"/>
          <w:shd w:val="clear" w:color="auto" w:fill="FFFFFF"/>
        </w:rPr>
      </w:pPr>
      <w:r>
        <w:rPr>
          <w:rFonts w:hint="eastAsia" w:ascii="仿宋_GB2312" w:eastAsia="仿宋_GB2312"/>
          <w:sz w:val="28"/>
          <w:szCs w:val="28"/>
          <w:shd w:val="clear" w:color="auto" w:fill="FFFFFF"/>
        </w:rPr>
        <w:t>17.1  本合同适用于中华人民共和国法律，双方当事人因履行本合同而产生争议的，应当协商解决。</w:t>
      </w:r>
    </w:p>
    <w:p>
      <w:pPr>
        <w:spacing w:line="360" w:lineRule="auto"/>
        <w:ind w:firstLine="560" w:firstLineChars="200"/>
        <w:rPr>
          <w:rFonts w:hint="eastAsia" w:ascii="仿宋_GB2312" w:eastAsia="仿宋_GB2312"/>
          <w:sz w:val="28"/>
          <w:szCs w:val="28"/>
          <w:shd w:val="clear" w:color="auto" w:fill="FFFFFF"/>
        </w:rPr>
      </w:pPr>
      <w:r>
        <w:rPr>
          <w:rFonts w:hint="eastAsia" w:ascii="仿宋_GB2312" w:eastAsia="仿宋_GB2312"/>
          <w:sz w:val="28"/>
          <w:szCs w:val="28"/>
          <w:shd w:val="clear" w:color="auto" w:fill="FFFFFF"/>
        </w:rPr>
        <w:t>17.2  如经协商未能解决的，当事人可依法采取下列第</w:t>
      </w:r>
      <w:r>
        <w:rPr>
          <w:rFonts w:hint="eastAsia" w:ascii="仿宋_GB2312" w:eastAsia="仿宋_GB2312"/>
          <w:sz w:val="28"/>
          <w:szCs w:val="28"/>
          <w:u w:val="single"/>
          <w:shd w:val="clear" w:color="auto" w:fill="FFFFFF"/>
        </w:rPr>
        <w:t xml:space="preserve">   </w:t>
      </w:r>
      <w:r>
        <w:rPr>
          <w:rFonts w:hint="eastAsia" w:ascii="仿宋_GB2312" w:eastAsia="仿宋_GB2312"/>
          <w:sz w:val="28"/>
          <w:szCs w:val="28"/>
          <w:shd w:val="clear" w:color="auto" w:fill="FFFFFF"/>
        </w:rPr>
        <w:t>种方法解决：</w:t>
      </w:r>
    </w:p>
    <w:p>
      <w:pPr>
        <w:spacing w:line="360" w:lineRule="auto"/>
        <w:ind w:firstLine="560" w:firstLineChars="200"/>
        <w:rPr>
          <w:rFonts w:hint="eastAsia" w:ascii="仿宋_GB2312" w:eastAsia="仿宋_GB2312"/>
          <w:sz w:val="28"/>
          <w:szCs w:val="28"/>
          <w:shd w:val="clear" w:color="auto" w:fill="FFFFFF"/>
        </w:rPr>
      </w:pPr>
      <w:r>
        <w:rPr>
          <w:rFonts w:hint="eastAsia" w:ascii="仿宋_GB2312" w:eastAsia="仿宋_GB2312"/>
          <w:sz w:val="28"/>
          <w:szCs w:val="28"/>
          <w:shd w:val="clear" w:color="auto" w:fill="FFFFFF"/>
        </w:rPr>
        <w:t>17.2.1  向有管辖权的人民法院提请诉讼；</w:t>
      </w:r>
    </w:p>
    <w:p>
      <w:pPr>
        <w:spacing w:line="360" w:lineRule="auto"/>
        <w:ind w:firstLine="560" w:firstLineChars="200"/>
        <w:rPr>
          <w:rFonts w:hint="eastAsia" w:ascii="仿宋_GB2312" w:eastAsia="仿宋_GB2312"/>
          <w:sz w:val="28"/>
          <w:szCs w:val="28"/>
          <w:shd w:val="clear" w:color="auto" w:fill="FFFFFF"/>
        </w:rPr>
      </w:pPr>
      <w:r>
        <w:rPr>
          <w:rFonts w:hint="eastAsia" w:ascii="仿宋_GB2312" w:eastAsia="仿宋_GB2312"/>
          <w:sz w:val="28"/>
          <w:szCs w:val="28"/>
          <w:shd w:val="clear" w:color="auto" w:fill="FFFFFF"/>
        </w:rPr>
        <w:t>17.2.2  向</w:t>
      </w:r>
      <w:r>
        <w:rPr>
          <w:rFonts w:hint="eastAsia" w:ascii="仿宋_GB2312" w:eastAsia="仿宋_GB2312"/>
          <w:sz w:val="28"/>
          <w:szCs w:val="28"/>
          <w:u w:val="single"/>
          <w:shd w:val="clear" w:color="auto" w:fill="FFFFFF"/>
        </w:rPr>
        <w:t xml:space="preserve">         </w:t>
      </w:r>
      <w:r>
        <w:rPr>
          <w:rFonts w:hint="eastAsia" w:ascii="仿宋_GB2312" w:eastAsia="仿宋_GB2312"/>
          <w:sz w:val="28"/>
          <w:szCs w:val="28"/>
          <w:shd w:val="clear" w:color="auto" w:fill="FFFFFF"/>
        </w:rPr>
        <w:t xml:space="preserve"> （仲裁机构名称）仲裁机构申请仲裁，仲裁地点为</w:t>
      </w:r>
      <w:r>
        <w:rPr>
          <w:rFonts w:hint="eastAsia" w:ascii="仿宋_GB2312" w:eastAsia="仿宋_GB2312"/>
          <w:sz w:val="28"/>
          <w:szCs w:val="28"/>
          <w:u w:val="single"/>
          <w:shd w:val="clear" w:color="auto" w:fill="FFFFFF"/>
        </w:rPr>
        <w:t xml:space="preserve">          </w:t>
      </w:r>
      <w:r>
        <w:rPr>
          <w:rFonts w:hint="eastAsia" w:ascii="仿宋_GB2312" w:eastAsia="仿宋_GB2312"/>
          <w:sz w:val="28"/>
          <w:szCs w:val="28"/>
          <w:shd w:val="clear" w:color="auto" w:fill="FFFFFF"/>
        </w:rPr>
        <w:t>。</w:t>
      </w:r>
    </w:p>
    <w:p>
      <w:pPr>
        <w:pStyle w:val="2"/>
        <w:jc w:val="center"/>
        <w:rPr>
          <w:rFonts w:hint="eastAsia" w:ascii="黑体" w:eastAsia="黑体"/>
          <w:b w:val="0"/>
          <w:sz w:val="28"/>
          <w:szCs w:val="28"/>
          <w:shd w:val="clear" w:color="auto" w:fill="FFFFFF"/>
          <w:lang/>
        </w:rPr>
      </w:pPr>
      <w:bookmarkStart w:id="30" w:name="_Toc293146995"/>
      <w:bookmarkStart w:id="31" w:name="_Toc319934297"/>
      <w:r>
        <w:rPr>
          <w:rFonts w:hint="eastAsia" w:ascii="黑体" w:eastAsia="黑体"/>
          <w:b w:val="0"/>
          <w:sz w:val="28"/>
          <w:szCs w:val="28"/>
          <w:shd w:val="clear" w:color="auto" w:fill="FFFFFF"/>
          <w:lang/>
        </w:rPr>
        <w:t>第十八章  本合同的生效、期限、</w:t>
      </w:r>
      <w:r>
        <w:rPr>
          <w:rFonts w:hint="eastAsia" w:ascii="黑体" w:eastAsia="黑体"/>
          <w:b w:val="0"/>
          <w:sz w:val="28"/>
          <w:szCs w:val="28"/>
          <w:shd w:val="clear" w:color="auto" w:fill="FFFFFF"/>
        </w:rPr>
        <w:t>变更与终止</w:t>
      </w:r>
      <w:bookmarkEnd w:id="30"/>
      <w:bookmarkEnd w:id="31"/>
    </w:p>
    <w:p>
      <w:pPr>
        <w:spacing w:line="360" w:lineRule="auto"/>
        <w:ind w:firstLine="560" w:firstLineChars="200"/>
        <w:rPr>
          <w:rFonts w:hint="eastAsia" w:ascii="仿宋_GB2312" w:eastAsia="仿宋_GB2312"/>
          <w:sz w:val="28"/>
          <w:szCs w:val="28"/>
          <w:shd w:val="clear" w:color="auto" w:fill="FFFFFF"/>
        </w:rPr>
      </w:pPr>
      <w:bookmarkStart w:id="32" w:name="_Toc293146996"/>
      <w:r>
        <w:rPr>
          <w:rFonts w:hint="eastAsia" w:ascii="仿宋_GB2312" w:eastAsia="仿宋_GB2312"/>
          <w:sz w:val="28"/>
          <w:szCs w:val="28"/>
          <w:shd w:val="clear" w:color="auto" w:fill="FFFFFF"/>
        </w:rPr>
        <w:t>18.1  本合同的生效。</w:t>
      </w:r>
    </w:p>
    <w:p>
      <w:pPr>
        <w:spacing w:line="360" w:lineRule="auto"/>
        <w:ind w:firstLine="560" w:firstLineChars="200"/>
        <w:rPr>
          <w:rFonts w:hint="eastAsia" w:ascii="仿宋_GB2312" w:eastAsia="仿宋_GB2312"/>
          <w:sz w:val="28"/>
          <w:szCs w:val="28"/>
          <w:shd w:val="clear" w:color="auto" w:fill="FFFFFF"/>
        </w:rPr>
      </w:pPr>
      <w:r>
        <w:rPr>
          <w:rFonts w:hint="eastAsia" w:ascii="仿宋_GB2312" w:eastAsia="仿宋_GB2312"/>
          <w:sz w:val="28"/>
          <w:szCs w:val="28"/>
          <w:shd w:val="clear" w:color="auto" w:fill="FFFFFF"/>
        </w:rPr>
        <w:t>本合同于甲乙双方的法定代表人或授权代表签字（或签章）、加盖双方公章后生效，</w:t>
      </w:r>
      <w:r>
        <w:rPr>
          <w:rFonts w:hint="eastAsia" w:ascii="仿宋_GB2312" w:hAnsi="宋体" w:eastAsia="仿宋_GB2312"/>
          <w:sz w:val="28"/>
          <w:szCs w:val="28"/>
          <w:shd w:val="clear" w:color="auto" w:fill="FFFFFF"/>
        </w:rPr>
        <w:t>由甲方报送</w:t>
      </w:r>
      <w:r>
        <w:rPr>
          <w:rFonts w:hint="eastAsia" w:ascii="仿宋_GB2312" w:eastAsia="仿宋_GB2312"/>
          <w:sz w:val="28"/>
          <w:szCs w:val="28"/>
          <w:shd w:val="clear" w:color="auto" w:fill="FFFFFF"/>
        </w:rPr>
        <w:t>人力资源社会保障行政部门备案。</w:t>
      </w:r>
    </w:p>
    <w:p>
      <w:pPr>
        <w:spacing w:line="360" w:lineRule="auto"/>
        <w:ind w:firstLine="560" w:firstLineChars="200"/>
        <w:rPr>
          <w:rFonts w:hint="eastAsia" w:ascii="仿宋_GB2312" w:eastAsia="仿宋_GB2312"/>
          <w:sz w:val="28"/>
          <w:szCs w:val="28"/>
          <w:shd w:val="clear" w:color="auto" w:fill="FFFFFF"/>
        </w:rPr>
      </w:pPr>
      <w:r>
        <w:rPr>
          <w:rFonts w:hint="eastAsia" w:ascii="仿宋_GB2312" w:eastAsia="仿宋_GB2312"/>
          <w:sz w:val="28"/>
          <w:szCs w:val="28"/>
          <w:shd w:val="clear" w:color="auto" w:fill="FFFFFF"/>
        </w:rPr>
        <w:t>18.2  本合同的期限。</w:t>
      </w:r>
    </w:p>
    <w:p>
      <w:pPr>
        <w:spacing w:line="360" w:lineRule="auto"/>
        <w:ind w:firstLine="560" w:firstLineChars="200"/>
        <w:rPr>
          <w:rFonts w:hint="eastAsia" w:ascii="仿宋_GB2312" w:eastAsia="仿宋_GB2312"/>
          <w:sz w:val="28"/>
          <w:szCs w:val="28"/>
          <w:shd w:val="clear" w:color="auto" w:fill="FFFFFF"/>
        </w:rPr>
      </w:pPr>
      <w:r>
        <w:rPr>
          <w:rFonts w:hint="eastAsia" w:ascii="仿宋_GB2312" w:eastAsia="仿宋_GB2312"/>
          <w:sz w:val="28"/>
          <w:szCs w:val="28"/>
          <w:shd w:val="clear" w:color="auto" w:fill="FFFFFF"/>
        </w:rPr>
        <w:t>本合同期限为自本合同生效之日起</w:t>
      </w:r>
      <w:r>
        <w:rPr>
          <w:rFonts w:hint="eastAsia" w:ascii="仿宋_GB2312" w:eastAsia="仿宋_GB2312"/>
          <w:sz w:val="28"/>
          <w:szCs w:val="28"/>
          <w:u w:val="single"/>
          <w:shd w:val="clear" w:color="auto" w:fill="FFFFFF"/>
        </w:rPr>
        <w:t xml:space="preserve">    </w:t>
      </w:r>
      <w:r>
        <w:rPr>
          <w:rFonts w:hint="eastAsia" w:ascii="仿宋_GB2312" w:eastAsia="仿宋_GB2312"/>
          <w:sz w:val="28"/>
          <w:szCs w:val="28"/>
          <w:shd w:val="clear" w:color="auto" w:fill="FFFFFF"/>
        </w:rPr>
        <w:t>年，合同届满时，如遇公休日或法定节假日，则顺延至下一个工作日。</w:t>
      </w:r>
    </w:p>
    <w:p>
      <w:pPr>
        <w:spacing w:line="360" w:lineRule="auto"/>
        <w:ind w:firstLine="560" w:firstLineChars="200"/>
        <w:rPr>
          <w:rFonts w:hint="eastAsia" w:ascii="仿宋_GB2312" w:eastAsia="仿宋_GB2312"/>
          <w:sz w:val="28"/>
          <w:szCs w:val="28"/>
          <w:shd w:val="clear" w:color="auto" w:fill="FFFFFF"/>
        </w:rPr>
      </w:pPr>
      <w:r>
        <w:rPr>
          <w:rFonts w:hint="eastAsia" w:ascii="仿宋_GB2312" w:eastAsia="仿宋_GB2312"/>
          <w:sz w:val="28"/>
          <w:szCs w:val="28"/>
          <w:shd w:val="clear" w:color="auto" w:fill="FFFFFF"/>
        </w:rPr>
        <w:t>18.3  本合同的变更。</w:t>
      </w:r>
    </w:p>
    <w:p>
      <w:pPr>
        <w:spacing w:line="360" w:lineRule="auto"/>
        <w:ind w:firstLine="560" w:firstLineChars="200"/>
        <w:rPr>
          <w:rFonts w:hint="eastAsia" w:ascii="仿宋_GB2312" w:eastAsia="仿宋_GB2312"/>
          <w:sz w:val="28"/>
          <w:szCs w:val="28"/>
          <w:shd w:val="clear" w:color="auto" w:fill="FFFFFF"/>
        </w:rPr>
      </w:pPr>
      <w:r>
        <w:rPr>
          <w:rFonts w:hint="eastAsia" w:ascii="仿宋_GB2312" w:eastAsia="仿宋_GB2312"/>
          <w:sz w:val="28"/>
          <w:szCs w:val="28"/>
          <w:shd w:val="clear" w:color="auto" w:fill="FFFFFF"/>
        </w:rPr>
        <w:t>本合同生效后，如需变更，须经双方协商一致并达成书面协议，出现下列情况之一的，由甲方向人力资源社会保障行政部门备案本合同：</w:t>
      </w:r>
    </w:p>
    <w:p>
      <w:pPr>
        <w:spacing w:line="360" w:lineRule="auto"/>
        <w:ind w:firstLine="560" w:firstLineChars="200"/>
        <w:rPr>
          <w:rFonts w:hint="eastAsia" w:ascii="仿宋_GB2312" w:eastAsia="仿宋_GB2312"/>
          <w:sz w:val="28"/>
          <w:szCs w:val="28"/>
          <w:shd w:val="clear" w:color="auto" w:fill="FFFFFF"/>
        </w:rPr>
      </w:pPr>
      <w:r>
        <w:rPr>
          <w:rFonts w:hint="eastAsia" w:ascii="仿宋_GB2312" w:eastAsia="仿宋_GB2312"/>
          <w:sz w:val="28"/>
          <w:szCs w:val="28"/>
          <w:shd w:val="clear" w:color="auto" w:fill="FFFFFF"/>
        </w:rPr>
        <w:t>18.3.1  本企业年金计划名称变更；</w:t>
      </w:r>
    </w:p>
    <w:p>
      <w:pPr>
        <w:spacing w:line="360" w:lineRule="auto"/>
        <w:ind w:firstLine="560" w:firstLineChars="200"/>
        <w:rPr>
          <w:rFonts w:hint="eastAsia" w:ascii="仿宋_GB2312" w:eastAsia="仿宋_GB2312"/>
          <w:sz w:val="28"/>
          <w:szCs w:val="28"/>
          <w:shd w:val="clear" w:color="auto" w:fill="FFFFFF"/>
        </w:rPr>
      </w:pPr>
      <w:r>
        <w:rPr>
          <w:rFonts w:hint="eastAsia" w:ascii="仿宋_GB2312" w:eastAsia="仿宋_GB2312"/>
          <w:sz w:val="28"/>
          <w:szCs w:val="28"/>
          <w:shd w:val="clear" w:color="auto" w:fill="FFFFFF"/>
        </w:rPr>
        <w:t>18.3.2  本企业年金计划管理费率变更；</w:t>
      </w:r>
    </w:p>
    <w:p>
      <w:pPr>
        <w:spacing w:line="360" w:lineRule="auto"/>
        <w:ind w:firstLine="560" w:firstLineChars="200"/>
        <w:rPr>
          <w:rFonts w:hint="eastAsia" w:ascii="仿宋_GB2312" w:eastAsia="仿宋_GB2312"/>
          <w:sz w:val="28"/>
          <w:szCs w:val="28"/>
          <w:shd w:val="clear" w:color="auto" w:fill="FFFFFF"/>
        </w:rPr>
      </w:pPr>
      <w:r>
        <w:rPr>
          <w:rFonts w:hint="eastAsia" w:ascii="仿宋_GB2312" w:eastAsia="仿宋_GB2312"/>
          <w:sz w:val="28"/>
          <w:szCs w:val="28"/>
          <w:shd w:val="clear" w:color="auto" w:fill="FFFFFF"/>
        </w:rPr>
        <w:t>18.3.3  本合同其他主要内容调整；</w:t>
      </w:r>
    </w:p>
    <w:p>
      <w:pPr>
        <w:spacing w:line="360" w:lineRule="auto"/>
        <w:ind w:firstLine="560" w:firstLineChars="200"/>
        <w:rPr>
          <w:rFonts w:hint="eastAsia" w:ascii="仿宋_GB2312" w:eastAsia="仿宋_GB2312"/>
          <w:sz w:val="28"/>
          <w:szCs w:val="28"/>
          <w:shd w:val="clear" w:color="auto" w:fill="FFFFFF"/>
        </w:rPr>
      </w:pPr>
      <w:r>
        <w:rPr>
          <w:rFonts w:hint="eastAsia" w:ascii="仿宋_GB2312" w:eastAsia="仿宋_GB2312"/>
          <w:sz w:val="28"/>
          <w:szCs w:val="28"/>
          <w:shd w:val="clear" w:color="auto" w:fill="FFFFFF"/>
        </w:rPr>
        <w:t>18.3.4  法律法规规定及本合同约定的其他情形。</w:t>
      </w:r>
    </w:p>
    <w:p>
      <w:pPr>
        <w:spacing w:line="360" w:lineRule="auto"/>
        <w:ind w:firstLine="560" w:firstLineChars="200"/>
        <w:rPr>
          <w:rFonts w:hint="eastAsia" w:ascii="仿宋_GB2312" w:eastAsia="仿宋_GB2312"/>
          <w:sz w:val="28"/>
          <w:szCs w:val="28"/>
          <w:shd w:val="clear" w:color="auto" w:fill="FFFFFF"/>
        </w:rPr>
      </w:pPr>
      <w:r>
        <w:rPr>
          <w:rFonts w:hint="eastAsia" w:ascii="仿宋_GB2312" w:eastAsia="仿宋_GB2312"/>
          <w:sz w:val="28"/>
          <w:szCs w:val="28"/>
          <w:shd w:val="clear" w:color="auto" w:fill="FFFFFF"/>
        </w:rPr>
        <w:t>18.4  甲乙双方按照以下第</w:t>
      </w:r>
      <w:r>
        <w:rPr>
          <w:rFonts w:hint="eastAsia" w:ascii="仿宋_GB2312" w:eastAsia="仿宋_GB2312"/>
          <w:sz w:val="28"/>
          <w:szCs w:val="28"/>
          <w:u w:val="single"/>
          <w:shd w:val="clear" w:color="auto" w:fill="FFFFFF"/>
        </w:rPr>
        <w:t xml:space="preserve">    </w:t>
      </w:r>
      <w:r>
        <w:rPr>
          <w:rFonts w:hint="eastAsia" w:ascii="仿宋_GB2312" w:eastAsia="仿宋_GB2312"/>
          <w:sz w:val="28"/>
          <w:szCs w:val="28"/>
          <w:shd w:val="clear" w:color="auto" w:fill="FFFFFF"/>
        </w:rPr>
        <w:t>款方式确定本合同否顺延或续签。</w:t>
      </w:r>
    </w:p>
    <w:p>
      <w:pPr>
        <w:spacing w:line="360" w:lineRule="auto"/>
        <w:ind w:firstLine="560" w:firstLineChars="200"/>
        <w:rPr>
          <w:rFonts w:hint="eastAsia" w:ascii="仿宋_GB2312" w:eastAsia="仿宋_GB2312"/>
          <w:sz w:val="28"/>
          <w:szCs w:val="28"/>
          <w:shd w:val="clear" w:color="auto" w:fill="FFFFFF"/>
        </w:rPr>
      </w:pPr>
      <w:r>
        <w:rPr>
          <w:rFonts w:hint="eastAsia" w:ascii="仿宋_GB2312" w:eastAsia="仿宋_GB2312"/>
          <w:sz w:val="28"/>
          <w:szCs w:val="28"/>
          <w:shd w:val="clear" w:color="auto" w:fill="FFFFFF"/>
        </w:rPr>
        <w:t>18.4.1  本合同期限截止日一个月前，任何一方未提出异议的，视为双方同意顺延相同合同期限，以后依此类推，</w:t>
      </w:r>
      <w:r>
        <w:rPr>
          <w:rFonts w:hint="eastAsia" w:ascii="仿宋_GB2312" w:eastAsia="仿宋_GB2312" w:cs="宋体"/>
          <w:kern w:val="0"/>
          <w:sz w:val="28"/>
          <w:szCs w:val="28"/>
          <w:shd w:val="clear" w:color="auto" w:fill="FFFFFF"/>
          <w:lang w:val="zh-CN"/>
        </w:rPr>
        <w:t>顺延次数不受限制；</w:t>
      </w:r>
    </w:p>
    <w:p>
      <w:pPr>
        <w:spacing w:line="360" w:lineRule="auto"/>
        <w:ind w:firstLine="560" w:firstLineChars="200"/>
        <w:rPr>
          <w:rFonts w:hint="eastAsia" w:ascii="仿宋_GB2312" w:eastAsia="仿宋_GB2312"/>
          <w:sz w:val="28"/>
          <w:szCs w:val="28"/>
          <w:shd w:val="clear" w:color="auto" w:fill="FFFFFF"/>
        </w:rPr>
      </w:pPr>
      <w:r>
        <w:rPr>
          <w:rFonts w:hint="eastAsia" w:ascii="仿宋_GB2312" w:eastAsia="仿宋_GB2312"/>
          <w:sz w:val="28"/>
          <w:szCs w:val="28"/>
          <w:shd w:val="clear" w:color="auto" w:fill="FFFFFF"/>
        </w:rPr>
        <w:t>18.4.2  本合同期限截止日一个月前，甲乙双方应当就是否续签本合同进行协商，甲乙双方同意续签本合同的，甲乙双方履行合同签署手续</w:t>
      </w:r>
      <w:r>
        <w:rPr>
          <w:rFonts w:hint="eastAsia" w:ascii="仿宋_GB2312" w:eastAsia="仿宋_GB2312" w:cs="宋体"/>
          <w:kern w:val="0"/>
          <w:sz w:val="28"/>
          <w:szCs w:val="28"/>
          <w:shd w:val="clear" w:color="auto" w:fill="FFFFFF"/>
          <w:lang w:val="zh-CN"/>
        </w:rPr>
        <w:t>。</w:t>
      </w:r>
    </w:p>
    <w:p>
      <w:pPr>
        <w:spacing w:line="360" w:lineRule="auto"/>
        <w:ind w:firstLine="560" w:firstLineChars="200"/>
        <w:rPr>
          <w:rFonts w:hint="eastAsia" w:ascii="仿宋_GB2312" w:eastAsia="仿宋_GB2312"/>
          <w:sz w:val="28"/>
          <w:szCs w:val="28"/>
          <w:shd w:val="clear" w:color="auto" w:fill="FFFFFF"/>
        </w:rPr>
      </w:pPr>
      <w:r>
        <w:rPr>
          <w:rFonts w:hint="eastAsia" w:ascii="仿宋_GB2312" w:eastAsia="仿宋_GB2312"/>
          <w:sz w:val="28"/>
          <w:szCs w:val="28"/>
          <w:shd w:val="clear" w:color="auto" w:fill="FFFFFF"/>
        </w:rPr>
        <w:t xml:space="preserve">18. 5 合同到期续签或顺延，且合同条款无任何变更的，由甲方向人力资源社会保障行政部门报送合同顺延或合同续签情况说明的函，不再报备合同。 </w:t>
      </w:r>
    </w:p>
    <w:p>
      <w:pPr>
        <w:spacing w:line="360" w:lineRule="auto"/>
        <w:ind w:firstLine="560" w:firstLineChars="200"/>
        <w:rPr>
          <w:rFonts w:hint="eastAsia" w:ascii="仿宋_GB2312" w:eastAsia="仿宋_GB2312"/>
          <w:sz w:val="28"/>
          <w:szCs w:val="28"/>
          <w:shd w:val="clear" w:color="auto" w:fill="FFFFFF"/>
        </w:rPr>
      </w:pPr>
      <w:r>
        <w:rPr>
          <w:rFonts w:hint="eastAsia" w:ascii="仿宋_GB2312" w:eastAsia="仿宋_GB2312"/>
          <w:sz w:val="28"/>
          <w:szCs w:val="28"/>
          <w:shd w:val="clear" w:color="auto" w:fill="FFFFFF"/>
        </w:rPr>
        <w:t>18.6  本合同的终止。</w:t>
      </w:r>
    </w:p>
    <w:p>
      <w:pPr>
        <w:spacing w:line="360" w:lineRule="auto"/>
        <w:ind w:firstLine="560" w:firstLineChars="200"/>
        <w:rPr>
          <w:rFonts w:hint="eastAsia" w:ascii="仿宋_GB2312" w:eastAsia="仿宋_GB2312"/>
          <w:sz w:val="28"/>
          <w:szCs w:val="28"/>
          <w:shd w:val="clear" w:color="auto" w:fill="FFFFFF"/>
        </w:rPr>
      </w:pPr>
      <w:r>
        <w:rPr>
          <w:rFonts w:hint="eastAsia" w:ascii="仿宋_GB2312" w:eastAsia="仿宋_GB2312"/>
          <w:sz w:val="28"/>
          <w:szCs w:val="28"/>
          <w:shd w:val="clear" w:color="auto" w:fill="FFFFFF"/>
        </w:rPr>
        <w:t>18.6.1  出现下列情况之一的，本合同终止：</w:t>
      </w:r>
    </w:p>
    <w:p>
      <w:pPr>
        <w:spacing w:line="360" w:lineRule="auto"/>
        <w:ind w:firstLine="560" w:firstLineChars="200"/>
        <w:rPr>
          <w:rFonts w:hint="eastAsia" w:ascii="仿宋_GB2312" w:eastAsia="仿宋_GB2312"/>
          <w:sz w:val="28"/>
          <w:szCs w:val="28"/>
          <w:shd w:val="clear" w:color="auto" w:fill="FFFFFF"/>
        </w:rPr>
      </w:pPr>
      <w:r>
        <w:rPr>
          <w:rFonts w:hint="eastAsia" w:ascii="仿宋_GB2312" w:eastAsia="仿宋_GB2312"/>
          <w:sz w:val="28"/>
          <w:szCs w:val="28"/>
          <w:shd w:val="clear" w:color="auto" w:fill="FFFFFF"/>
        </w:rPr>
        <w:t>18.6.1.1  本合同期限届满且未顺延；</w:t>
      </w:r>
    </w:p>
    <w:p>
      <w:pPr>
        <w:spacing w:line="360" w:lineRule="auto"/>
        <w:ind w:firstLine="560" w:firstLineChars="200"/>
        <w:rPr>
          <w:rFonts w:hint="eastAsia" w:ascii="仿宋_GB2312" w:eastAsia="仿宋_GB2312"/>
          <w:sz w:val="28"/>
          <w:szCs w:val="28"/>
          <w:shd w:val="clear" w:color="auto" w:fill="FFFFFF"/>
        </w:rPr>
      </w:pPr>
      <w:r>
        <w:rPr>
          <w:rFonts w:hint="eastAsia" w:ascii="仿宋_GB2312" w:eastAsia="仿宋_GB2312"/>
          <w:sz w:val="28"/>
          <w:szCs w:val="28"/>
          <w:shd w:val="clear" w:color="auto" w:fill="FFFFFF"/>
        </w:rPr>
        <w:t>18.6.1.2  本合同经甲方与乙方协商同意终止；</w:t>
      </w:r>
    </w:p>
    <w:p>
      <w:pPr>
        <w:spacing w:line="360" w:lineRule="auto"/>
        <w:ind w:firstLine="560" w:firstLineChars="200"/>
        <w:rPr>
          <w:rFonts w:hint="eastAsia" w:ascii="仿宋_GB2312" w:eastAsia="仿宋_GB2312"/>
          <w:sz w:val="28"/>
          <w:szCs w:val="28"/>
          <w:shd w:val="clear" w:color="auto" w:fill="FFFFFF"/>
        </w:rPr>
      </w:pPr>
      <w:r>
        <w:rPr>
          <w:rFonts w:hint="eastAsia" w:ascii="仿宋_GB2312" w:eastAsia="仿宋_GB2312"/>
          <w:sz w:val="28"/>
          <w:szCs w:val="28"/>
          <w:shd w:val="clear" w:color="auto" w:fill="FFFFFF"/>
        </w:rPr>
        <w:t>18.6.1.3  本合同双方的合同关系被依法撤销；</w:t>
      </w:r>
    </w:p>
    <w:p>
      <w:pPr>
        <w:spacing w:line="360" w:lineRule="auto"/>
        <w:ind w:firstLine="560" w:firstLineChars="200"/>
        <w:rPr>
          <w:rFonts w:hint="eastAsia" w:ascii="仿宋_GB2312" w:eastAsia="仿宋_GB2312"/>
          <w:sz w:val="28"/>
          <w:szCs w:val="28"/>
          <w:shd w:val="clear" w:color="auto" w:fill="FFFFFF"/>
        </w:rPr>
      </w:pPr>
      <w:r>
        <w:rPr>
          <w:rFonts w:hint="eastAsia" w:ascii="仿宋_GB2312" w:eastAsia="仿宋_GB2312"/>
          <w:sz w:val="28"/>
          <w:szCs w:val="28"/>
          <w:shd w:val="clear" w:color="auto" w:fill="FFFFFF"/>
        </w:rPr>
        <w:t>18.6.1.4  本合同双方的合同关系被依法解除。</w:t>
      </w:r>
    </w:p>
    <w:p>
      <w:pPr>
        <w:spacing w:line="360" w:lineRule="auto"/>
        <w:ind w:firstLine="560" w:firstLineChars="200"/>
        <w:rPr>
          <w:rFonts w:hint="eastAsia" w:ascii="仿宋_GB2312" w:eastAsia="仿宋_GB2312"/>
          <w:sz w:val="28"/>
          <w:szCs w:val="28"/>
          <w:shd w:val="clear" w:color="auto" w:fill="FFFFFF"/>
        </w:rPr>
      </w:pPr>
      <w:r>
        <w:rPr>
          <w:rFonts w:hint="eastAsia" w:ascii="仿宋_GB2312" w:eastAsia="仿宋_GB2312"/>
          <w:sz w:val="28"/>
          <w:szCs w:val="28"/>
          <w:shd w:val="clear" w:color="auto" w:fill="FFFFFF"/>
        </w:rPr>
        <w:t>18.6.2  在本合同期限内，有下列情形之一，甲方可以单方终止本合同：</w:t>
      </w:r>
    </w:p>
    <w:p>
      <w:pPr>
        <w:spacing w:line="360" w:lineRule="auto"/>
        <w:ind w:firstLine="560" w:firstLineChars="200"/>
        <w:rPr>
          <w:rFonts w:hint="eastAsia" w:ascii="仿宋_GB2312" w:eastAsia="仿宋_GB2312"/>
          <w:sz w:val="28"/>
          <w:szCs w:val="28"/>
          <w:shd w:val="clear" w:color="auto" w:fill="FFFFFF"/>
        </w:rPr>
      </w:pPr>
      <w:r>
        <w:rPr>
          <w:rFonts w:hint="eastAsia" w:ascii="仿宋_GB2312" w:eastAsia="仿宋_GB2312"/>
          <w:sz w:val="28"/>
          <w:szCs w:val="28"/>
          <w:shd w:val="clear" w:color="auto" w:fill="FFFFFF"/>
        </w:rPr>
        <w:t>18.6.2.1  乙方违反本合同约定的且致使不能实现合同目的；</w:t>
      </w:r>
    </w:p>
    <w:p>
      <w:pPr>
        <w:spacing w:line="360" w:lineRule="auto"/>
        <w:ind w:firstLine="560" w:firstLineChars="200"/>
        <w:rPr>
          <w:rFonts w:hint="eastAsia" w:ascii="仿宋_GB2312" w:eastAsia="仿宋_GB2312"/>
          <w:sz w:val="28"/>
          <w:szCs w:val="28"/>
          <w:shd w:val="clear" w:color="auto" w:fill="FFFFFF"/>
        </w:rPr>
      </w:pPr>
      <w:r>
        <w:rPr>
          <w:rFonts w:hint="eastAsia" w:ascii="仿宋_GB2312" w:eastAsia="仿宋_GB2312"/>
          <w:sz w:val="28"/>
          <w:szCs w:val="28"/>
          <w:shd w:val="clear" w:color="auto" w:fill="FFFFFF"/>
        </w:rPr>
        <w:t>18.6.2.2  乙方利用企业年金基金财产为其谋取利益，或者为他人谋取不正当利益；</w:t>
      </w:r>
    </w:p>
    <w:p>
      <w:pPr>
        <w:spacing w:line="360" w:lineRule="auto"/>
        <w:ind w:firstLine="560" w:firstLineChars="200"/>
        <w:rPr>
          <w:rFonts w:hint="eastAsia" w:ascii="仿宋_GB2312" w:eastAsia="仿宋_GB2312"/>
          <w:sz w:val="28"/>
          <w:szCs w:val="28"/>
          <w:shd w:val="clear" w:color="auto" w:fill="FFFFFF"/>
        </w:rPr>
      </w:pPr>
      <w:r>
        <w:rPr>
          <w:rFonts w:hint="eastAsia" w:ascii="仿宋_GB2312" w:eastAsia="仿宋_GB2312"/>
          <w:sz w:val="28"/>
          <w:szCs w:val="28"/>
          <w:shd w:val="clear" w:color="auto" w:fill="FFFFFF"/>
        </w:rPr>
        <w:t>18.6.2.3  乙方依法解散、被依法撤销、被依法宣告破产或被依法接管；</w:t>
      </w:r>
    </w:p>
    <w:p>
      <w:pPr>
        <w:spacing w:line="360" w:lineRule="auto"/>
        <w:ind w:firstLine="560" w:firstLineChars="200"/>
        <w:rPr>
          <w:rFonts w:hint="eastAsia" w:ascii="仿宋_GB2312" w:eastAsia="仿宋_GB2312"/>
          <w:sz w:val="28"/>
          <w:szCs w:val="28"/>
          <w:shd w:val="clear" w:color="auto" w:fill="FFFFFF"/>
        </w:rPr>
      </w:pPr>
      <w:r>
        <w:rPr>
          <w:rFonts w:hint="eastAsia" w:ascii="仿宋_GB2312" w:eastAsia="仿宋_GB2312"/>
          <w:sz w:val="28"/>
          <w:szCs w:val="28"/>
          <w:shd w:val="clear" w:color="auto" w:fill="FFFFFF"/>
        </w:rPr>
        <w:t>18.6.2.4  乙方被依法取消年金基金投资管理业务资格；</w:t>
      </w:r>
    </w:p>
    <w:p>
      <w:pPr>
        <w:spacing w:line="360" w:lineRule="auto"/>
        <w:ind w:firstLine="560" w:firstLineChars="200"/>
        <w:rPr>
          <w:rFonts w:hint="eastAsia" w:ascii="仿宋_GB2312" w:eastAsia="仿宋_GB2312"/>
          <w:sz w:val="28"/>
          <w:szCs w:val="28"/>
          <w:shd w:val="clear" w:color="auto" w:fill="FFFFFF"/>
        </w:rPr>
      </w:pPr>
      <w:r>
        <w:rPr>
          <w:rFonts w:hint="eastAsia" w:ascii="仿宋_GB2312" w:eastAsia="仿宋_GB2312"/>
          <w:sz w:val="28"/>
          <w:szCs w:val="28"/>
          <w:shd w:val="clear" w:color="auto" w:fill="FFFFFF"/>
        </w:rPr>
        <w:t>18.6.2.5  甲方有充分理由和证据认为更换乙方符合受益人利益；</w:t>
      </w:r>
    </w:p>
    <w:p>
      <w:pPr>
        <w:spacing w:line="360" w:lineRule="auto"/>
        <w:ind w:firstLine="560" w:firstLineChars="200"/>
        <w:rPr>
          <w:rFonts w:hint="eastAsia" w:ascii="仿宋_GB2312" w:eastAsia="仿宋_GB2312"/>
          <w:sz w:val="28"/>
          <w:szCs w:val="28"/>
          <w:shd w:val="clear" w:color="auto" w:fill="FFFFFF"/>
        </w:rPr>
      </w:pPr>
      <w:r>
        <w:rPr>
          <w:rFonts w:hint="eastAsia" w:ascii="仿宋_GB2312" w:eastAsia="仿宋_GB2312"/>
          <w:sz w:val="28"/>
          <w:szCs w:val="28"/>
          <w:shd w:val="clear" w:color="auto" w:fill="FFFFFF"/>
        </w:rPr>
        <w:t>18.6.2.6  有关监管部门有充分理由和依据认为更换乙方符合受益人利益；</w:t>
      </w:r>
    </w:p>
    <w:p>
      <w:pPr>
        <w:spacing w:line="360" w:lineRule="auto"/>
        <w:ind w:firstLine="560" w:firstLineChars="200"/>
        <w:rPr>
          <w:rFonts w:hint="eastAsia" w:ascii="仿宋_GB2312" w:eastAsia="仿宋_GB2312"/>
          <w:sz w:val="28"/>
          <w:szCs w:val="28"/>
          <w:shd w:val="clear" w:color="auto" w:fill="FFFFFF"/>
        </w:rPr>
      </w:pPr>
      <w:r>
        <w:rPr>
          <w:rFonts w:hint="eastAsia" w:ascii="仿宋_GB2312" w:eastAsia="仿宋_GB2312"/>
          <w:sz w:val="28"/>
          <w:szCs w:val="28"/>
          <w:shd w:val="clear" w:color="auto" w:fill="FFFFFF"/>
        </w:rPr>
        <w:t>18.6.2.7  乙方在企业年金基金运作中有严重违反法律法规规定的行为的；</w:t>
      </w:r>
    </w:p>
    <w:p>
      <w:pPr>
        <w:spacing w:line="360" w:lineRule="auto"/>
        <w:ind w:firstLine="560" w:firstLineChars="200"/>
        <w:rPr>
          <w:rFonts w:hint="eastAsia" w:ascii="仿宋_GB2312" w:eastAsia="仿宋_GB2312"/>
          <w:sz w:val="28"/>
          <w:szCs w:val="28"/>
          <w:shd w:val="clear" w:color="auto" w:fill="FFFFFF"/>
        </w:rPr>
      </w:pPr>
      <w:r>
        <w:rPr>
          <w:rFonts w:hint="eastAsia" w:ascii="仿宋_GB2312" w:eastAsia="仿宋_GB2312"/>
          <w:sz w:val="28"/>
          <w:szCs w:val="28"/>
          <w:shd w:val="clear" w:color="auto" w:fill="FFFFFF"/>
        </w:rPr>
        <w:t>18.6.2.8  法律法规规定和本合同约定的其他情形。</w:t>
      </w:r>
    </w:p>
    <w:p>
      <w:pPr>
        <w:spacing w:line="360" w:lineRule="auto"/>
        <w:ind w:firstLine="560" w:firstLineChars="200"/>
        <w:rPr>
          <w:rFonts w:hint="eastAsia" w:ascii="仿宋_GB2312" w:eastAsia="仿宋_GB2312"/>
          <w:sz w:val="28"/>
          <w:szCs w:val="28"/>
          <w:shd w:val="clear" w:color="auto" w:fill="FFFFFF"/>
        </w:rPr>
      </w:pPr>
      <w:r>
        <w:rPr>
          <w:rFonts w:hint="eastAsia" w:ascii="仿宋_GB2312" w:eastAsia="仿宋_GB2312"/>
          <w:sz w:val="28"/>
          <w:szCs w:val="28"/>
          <w:shd w:val="clear" w:color="auto" w:fill="FFFFFF"/>
        </w:rPr>
        <w:t>18.6.3  在本合同期限内，有下列情形之一，乙方可以单方终止本合同：</w:t>
      </w:r>
    </w:p>
    <w:p>
      <w:pPr>
        <w:spacing w:line="360" w:lineRule="auto"/>
        <w:ind w:firstLine="560" w:firstLineChars="200"/>
        <w:rPr>
          <w:rFonts w:hint="eastAsia" w:ascii="仿宋_GB2312" w:eastAsia="仿宋_GB2312"/>
          <w:sz w:val="28"/>
          <w:szCs w:val="28"/>
          <w:shd w:val="clear" w:color="auto" w:fill="FFFFFF"/>
        </w:rPr>
      </w:pPr>
      <w:r>
        <w:rPr>
          <w:rFonts w:hint="eastAsia" w:ascii="仿宋_GB2312" w:eastAsia="仿宋_GB2312"/>
          <w:sz w:val="28"/>
          <w:szCs w:val="28"/>
          <w:shd w:val="clear" w:color="auto" w:fill="FFFFFF"/>
        </w:rPr>
        <w:t>18.6.3.1  甲方因其违约行为致使不能实现合同目的；</w:t>
      </w:r>
    </w:p>
    <w:p>
      <w:pPr>
        <w:spacing w:line="360" w:lineRule="auto"/>
        <w:ind w:firstLine="560" w:firstLineChars="200"/>
        <w:rPr>
          <w:rFonts w:hint="eastAsia" w:ascii="仿宋_GB2312" w:eastAsia="仿宋_GB2312"/>
          <w:sz w:val="28"/>
          <w:szCs w:val="28"/>
          <w:shd w:val="clear" w:color="auto" w:fill="FFFFFF"/>
        </w:rPr>
      </w:pPr>
      <w:r>
        <w:rPr>
          <w:rFonts w:hint="eastAsia" w:ascii="仿宋_GB2312" w:eastAsia="仿宋_GB2312"/>
          <w:sz w:val="28"/>
          <w:szCs w:val="28"/>
          <w:shd w:val="clear" w:color="auto" w:fill="FFFFFF"/>
        </w:rPr>
        <w:t>18.6.3.2  甲方在企业年金基金运作中有严重违反法律法规规定的行为；</w:t>
      </w:r>
    </w:p>
    <w:p>
      <w:pPr>
        <w:spacing w:line="360" w:lineRule="auto"/>
        <w:ind w:firstLine="560" w:firstLineChars="200"/>
        <w:rPr>
          <w:rFonts w:hint="eastAsia" w:ascii="仿宋_GB2312" w:eastAsia="仿宋_GB2312"/>
          <w:sz w:val="28"/>
          <w:szCs w:val="28"/>
          <w:shd w:val="clear" w:color="auto" w:fill="FFFFFF"/>
        </w:rPr>
      </w:pPr>
      <w:r>
        <w:rPr>
          <w:rFonts w:hint="eastAsia" w:ascii="仿宋_GB2312" w:eastAsia="仿宋_GB2312"/>
          <w:sz w:val="28"/>
          <w:szCs w:val="28"/>
          <w:shd w:val="clear" w:color="auto" w:fill="FFFFFF"/>
        </w:rPr>
        <w:t>18.6.3.3  甲方依法解散、被依法撤销、被依法宣告破产或被依法接管；</w:t>
      </w:r>
    </w:p>
    <w:p>
      <w:pPr>
        <w:spacing w:line="360" w:lineRule="auto"/>
        <w:ind w:firstLine="560" w:firstLineChars="200"/>
        <w:rPr>
          <w:rFonts w:hint="eastAsia" w:ascii="仿宋_GB2312" w:eastAsia="仿宋_GB2312"/>
          <w:sz w:val="28"/>
          <w:szCs w:val="28"/>
          <w:shd w:val="clear" w:color="auto" w:fill="FFFFFF"/>
        </w:rPr>
      </w:pPr>
      <w:r>
        <w:rPr>
          <w:rFonts w:hint="eastAsia" w:ascii="仿宋_GB2312" w:eastAsia="仿宋_GB2312"/>
          <w:sz w:val="28"/>
          <w:szCs w:val="28"/>
          <w:shd w:val="clear" w:color="auto" w:fill="FFFFFF"/>
        </w:rPr>
        <w:t>18.6.3.4  甲方被依法取消年金基金受托管理业务资格；</w:t>
      </w:r>
    </w:p>
    <w:p>
      <w:pPr>
        <w:spacing w:line="360" w:lineRule="auto"/>
        <w:ind w:firstLine="560" w:firstLineChars="200"/>
        <w:rPr>
          <w:rFonts w:hint="eastAsia" w:ascii="仿宋_GB2312" w:eastAsia="仿宋_GB2312"/>
          <w:sz w:val="28"/>
          <w:szCs w:val="28"/>
          <w:shd w:val="clear" w:color="auto" w:fill="FFFFFF"/>
        </w:rPr>
      </w:pPr>
      <w:r>
        <w:rPr>
          <w:rFonts w:hint="eastAsia" w:ascii="仿宋_GB2312" w:eastAsia="仿宋_GB2312"/>
          <w:sz w:val="28"/>
          <w:szCs w:val="28"/>
          <w:shd w:val="clear" w:color="auto" w:fill="FFFFFF"/>
        </w:rPr>
        <w:t>18.6.3.5  甲方在企业年金基金运作中有严重违反法律法规规定的行为；</w:t>
      </w:r>
    </w:p>
    <w:p>
      <w:pPr>
        <w:spacing w:line="360" w:lineRule="auto"/>
        <w:ind w:firstLine="560" w:firstLineChars="200"/>
        <w:rPr>
          <w:rFonts w:hint="eastAsia" w:ascii="仿宋_GB2312" w:eastAsia="仿宋_GB2312"/>
          <w:sz w:val="28"/>
          <w:szCs w:val="28"/>
          <w:shd w:val="clear" w:color="auto" w:fill="FFFFFF"/>
        </w:rPr>
      </w:pPr>
      <w:r>
        <w:rPr>
          <w:rFonts w:hint="eastAsia" w:ascii="仿宋_GB2312" w:eastAsia="仿宋_GB2312"/>
          <w:sz w:val="28"/>
          <w:szCs w:val="28"/>
          <w:shd w:val="clear" w:color="auto" w:fill="FFFFFF"/>
        </w:rPr>
        <w:t>18.6.3.6  法律法规规定和本合同约定的其他情形。</w:t>
      </w:r>
    </w:p>
    <w:p>
      <w:pPr>
        <w:spacing w:line="360" w:lineRule="auto"/>
        <w:ind w:firstLine="560" w:firstLineChars="200"/>
        <w:rPr>
          <w:rFonts w:hint="eastAsia" w:ascii="仿宋_GB2312" w:eastAsia="仿宋_GB2312"/>
          <w:sz w:val="28"/>
          <w:szCs w:val="28"/>
          <w:shd w:val="clear" w:color="auto" w:fill="FFFFFF"/>
        </w:rPr>
      </w:pPr>
      <w:r>
        <w:rPr>
          <w:rFonts w:hint="eastAsia" w:ascii="仿宋_GB2312" w:eastAsia="仿宋_GB2312" w:cs="宋体"/>
          <w:kern w:val="0"/>
          <w:sz w:val="28"/>
          <w:szCs w:val="28"/>
          <w:shd w:val="clear" w:color="auto" w:fill="FFFFFF"/>
        </w:rPr>
        <w:t>18.7</w:t>
      </w:r>
      <w:r>
        <w:rPr>
          <w:rFonts w:hint="eastAsia" w:ascii="仿宋_GB2312" w:eastAsia="仿宋_GB2312" w:cs="宋体"/>
          <w:kern w:val="0"/>
          <w:sz w:val="28"/>
          <w:szCs w:val="28"/>
          <w:shd w:val="clear" w:color="auto" w:fill="FFFFFF"/>
          <w:lang w:val="zh-CN"/>
        </w:rPr>
        <w:t xml:space="preserve">  本合同的终止日期：本合同期限正常届满的，以本合同期的最后一日为终止日，</w:t>
      </w:r>
      <w:r>
        <w:rPr>
          <w:rFonts w:hint="eastAsia" w:ascii="仿宋_GB2312" w:eastAsia="仿宋_GB2312"/>
          <w:sz w:val="28"/>
          <w:szCs w:val="28"/>
          <w:shd w:val="clear" w:color="auto" w:fill="FFFFFF"/>
        </w:rPr>
        <w:t>若遇公休日或法定节假日，则顺延至下一个工作日</w:t>
      </w:r>
      <w:r>
        <w:rPr>
          <w:rFonts w:hint="eastAsia" w:ascii="仿宋_GB2312" w:eastAsia="仿宋_GB2312" w:cs="宋体"/>
          <w:kern w:val="0"/>
          <w:sz w:val="28"/>
          <w:szCs w:val="28"/>
          <w:shd w:val="clear" w:color="auto" w:fill="FFFFFF"/>
          <w:lang w:val="zh-CN"/>
        </w:rPr>
        <w:t>。本合同双方协商终止的，以终止协议约定的日期为终止日。如果双方的合同关系被依法撤销或解除的，以撤销或解除通知生效之日为终止日。</w:t>
      </w:r>
      <w:r>
        <w:rPr>
          <w:rFonts w:hint="eastAsia" w:ascii="仿宋_GB2312" w:eastAsia="仿宋_GB2312"/>
          <w:sz w:val="28"/>
          <w:szCs w:val="28"/>
          <w:shd w:val="clear" w:color="auto" w:fill="FFFFFF"/>
        </w:rPr>
        <w:t>如甲方或乙方按本合同18.6.2与18.6.3的约定解除合同关系的，以一方解除合同通知送达对方之日为终止日。</w:t>
      </w:r>
    </w:p>
    <w:p>
      <w:pPr>
        <w:pStyle w:val="2"/>
        <w:jc w:val="center"/>
        <w:rPr>
          <w:rFonts w:hint="eastAsia" w:ascii="黑体" w:eastAsia="黑体"/>
          <w:b w:val="0"/>
          <w:sz w:val="28"/>
          <w:szCs w:val="28"/>
          <w:shd w:val="clear" w:color="auto" w:fill="FFFFFF"/>
          <w:lang/>
        </w:rPr>
      </w:pPr>
      <w:bookmarkStart w:id="33" w:name="_Toc319934298"/>
      <w:r>
        <w:rPr>
          <w:rFonts w:hint="eastAsia" w:ascii="黑体" w:eastAsia="黑体"/>
          <w:b w:val="0"/>
          <w:sz w:val="28"/>
          <w:szCs w:val="28"/>
          <w:shd w:val="clear" w:color="auto" w:fill="FFFFFF"/>
          <w:lang/>
        </w:rPr>
        <w:t>第十九章  保密条款</w:t>
      </w:r>
      <w:bookmarkEnd w:id="32"/>
      <w:bookmarkEnd w:id="33"/>
    </w:p>
    <w:p>
      <w:pPr>
        <w:spacing w:line="360" w:lineRule="auto"/>
        <w:ind w:firstLine="560" w:firstLineChars="200"/>
        <w:rPr>
          <w:rFonts w:hint="eastAsia" w:ascii="仿宋_GB2312" w:eastAsia="仿宋_GB2312"/>
          <w:sz w:val="28"/>
          <w:szCs w:val="28"/>
          <w:shd w:val="clear" w:color="auto" w:fill="FFFFFF"/>
        </w:rPr>
      </w:pPr>
      <w:bookmarkStart w:id="34" w:name="_Toc293146997"/>
      <w:r>
        <w:rPr>
          <w:rFonts w:hint="eastAsia" w:ascii="仿宋_GB2312" w:eastAsia="仿宋_GB2312"/>
          <w:sz w:val="28"/>
          <w:szCs w:val="28"/>
          <w:shd w:val="clear" w:color="auto" w:fill="FFFFFF"/>
        </w:rPr>
        <w:t>19.1  合同双方于投资管理中所知悉的对方商业秘密以及其他未公开的信息，未经许可，任何一方当事人不得自己使用或向第三方透露和使用，但根据法律法规规定或监管部门要求应当进行披露的除外。</w:t>
      </w:r>
    </w:p>
    <w:p>
      <w:pPr>
        <w:spacing w:line="360" w:lineRule="auto"/>
        <w:ind w:firstLine="560" w:firstLineChars="200"/>
        <w:rPr>
          <w:rFonts w:hint="eastAsia" w:ascii="仿宋_GB2312" w:eastAsia="仿宋_GB2312"/>
          <w:sz w:val="28"/>
          <w:szCs w:val="28"/>
          <w:shd w:val="clear" w:color="auto" w:fill="FFFFFF"/>
        </w:rPr>
      </w:pPr>
      <w:r>
        <w:rPr>
          <w:rFonts w:hint="eastAsia" w:ascii="仿宋_GB2312" w:eastAsia="仿宋_GB2312"/>
          <w:sz w:val="28"/>
          <w:szCs w:val="28"/>
          <w:shd w:val="clear" w:color="auto" w:fill="FFFFFF"/>
        </w:rPr>
        <w:t>19.2  任何一方违反保密义务的规定，应当赔偿由此给另一方造成的损失。</w:t>
      </w:r>
    </w:p>
    <w:p>
      <w:pPr>
        <w:spacing w:line="360" w:lineRule="auto"/>
        <w:ind w:firstLine="560" w:firstLineChars="200"/>
        <w:rPr>
          <w:rFonts w:hint="eastAsia" w:ascii="仿宋_GB2312" w:eastAsia="仿宋_GB2312"/>
          <w:sz w:val="28"/>
          <w:szCs w:val="28"/>
          <w:shd w:val="clear" w:color="auto" w:fill="FFFFFF"/>
        </w:rPr>
      </w:pPr>
      <w:r>
        <w:rPr>
          <w:rFonts w:hint="eastAsia" w:ascii="仿宋_GB2312" w:eastAsia="仿宋_GB2312"/>
          <w:sz w:val="28"/>
          <w:szCs w:val="28"/>
          <w:shd w:val="clear" w:color="auto" w:fill="FFFFFF"/>
        </w:rPr>
        <w:t>19.3保密义务不因投资管理合同的终止而结束。</w:t>
      </w:r>
    </w:p>
    <w:p>
      <w:pPr>
        <w:pStyle w:val="2"/>
        <w:jc w:val="center"/>
        <w:rPr>
          <w:rFonts w:hint="eastAsia" w:ascii="黑体" w:eastAsia="黑体"/>
          <w:b w:val="0"/>
          <w:sz w:val="28"/>
          <w:szCs w:val="28"/>
          <w:shd w:val="clear" w:color="auto" w:fill="FFFFFF"/>
          <w:lang/>
        </w:rPr>
      </w:pPr>
      <w:bookmarkStart w:id="35" w:name="_Toc319934299"/>
      <w:r>
        <w:rPr>
          <w:rFonts w:hint="eastAsia" w:ascii="黑体" w:eastAsia="黑体"/>
          <w:b w:val="0"/>
          <w:sz w:val="28"/>
          <w:szCs w:val="28"/>
          <w:shd w:val="clear" w:color="auto" w:fill="FFFFFF"/>
          <w:lang/>
        </w:rPr>
        <w:t>第二十章  通知与送达</w:t>
      </w:r>
      <w:bookmarkEnd w:id="34"/>
      <w:bookmarkEnd w:id="35"/>
    </w:p>
    <w:p>
      <w:pPr>
        <w:spacing w:line="360" w:lineRule="auto"/>
        <w:ind w:firstLine="560" w:firstLineChars="200"/>
        <w:rPr>
          <w:rFonts w:hint="eastAsia" w:ascii="仿宋_GB2312" w:eastAsia="仿宋_GB2312"/>
          <w:sz w:val="28"/>
          <w:szCs w:val="28"/>
          <w:shd w:val="clear" w:color="auto" w:fill="FFFFFF"/>
        </w:rPr>
      </w:pPr>
      <w:r>
        <w:rPr>
          <w:rFonts w:hint="eastAsia" w:ascii="仿宋_GB2312" w:eastAsia="仿宋_GB2312"/>
          <w:sz w:val="28"/>
          <w:szCs w:val="28"/>
          <w:shd w:val="clear" w:color="auto" w:fill="FFFFFF"/>
        </w:rPr>
        <w:t>20.1  甲方与乙方可采取专人送达、挂号邮递、传真或电子邮件等有效方式就投资管理业务相关事项通知对方。</w:t>
      </w:r>
    </w:p>
    <w:p>
      <w:pPr>
        <w:spacing w:line="360" w:lineRule="auto"/>
        <w:ind w:firstLine="560" w:firstLineChars="200"/>
        <w:rPr>
          <w:rFonts w:hint="eastAsia" w:ascii="仿宋_GB2312" w:eastAsia="仿宋_GB2312"/>
          <w:sz w:val="28"/>
          <w:szCs w:val="28"/>
          <w:shd w:val="clear" w:color="auto" w:fill="FFFFFF"/>
        </w:rPr>
      </w:pPr>
      <w:r>
        <w:rPr>
          <w:rFonts w:hint="eastAsia" w:ascii="仿宋_GB2312" w:eastAsia="仿宋_GB2312"/>
          <w:sz w:val="28"/>
          <w:szCs w:val="28"/>
          <w:shd w:val="clear" w:color="auto" w:fill="FFFFFF"/>
        </w:rPr>
        <w:t>20.2   通知在下列日期视为送达被通知方：</w:t>
      </w:r>
    </w:p>
    <w:p>
      <w:pPr>
        <w:spacing w:line="360" w:lineRule="auto"/>
        <w:ind w:firstLine="560" w:firstLineChars="200"/>
        <w:rPr>
          <w:rFonts w:hint="eastAsia" w:ascii="仿宋_GB2312" w:eastAsia="仿宋_GB2312"/>
          <w:sz w:val="28"/>
          <w:szCs w:val="28"/>
          <w:shd w:val="clear" w:color="auto" w:fill="FFFFFF"/>
        </w:rPr>
      </w:pPr>
      <w:r>
        <w:rPr>
          <w:rFonts w:hint="eastAsia" w:ascii="仿宋_GB2312" w:eastAsia="仿宋_GB2312"/>
          <w:sz w:val="28"/>
          <w:szCs w:val="28"/>
          <w:shd w:val="clear" w:color="auto" w:fill="FFFFFF"/>
        </w:rPr>
        <w:t>20.2.1  专人送达：被通知方签收单中所显示的日期；</w:t>
      </w:r>
    </w:p>
    <w:p>
      <w:pPr>
        <w:spacing w:line="360" w:lineRule="auto"/>
        <w:ind w:firstLine="560" w:firstLineChars="200"/>
        <w:rPr>
          <w:rFonts w:hint="eastAsia" w:ascii="仿宋_GB2312" w:eastAsia="仿宋_GB2312"/>
          <w:sz w:val="28"/>
          <w:szCs w:val="28"/>
          <w:shd w:val="clear" w:color="auto" w:fill="FFFFFF"/>
        </w:rPr>
      </w:pPr>
      <w:r>
        <w:rPr>
          <w:rFonts w:hint="eastAsia" w:ascii="仿宋_GB2312" w:eastAsia="仿宋_GB2312"/>
          <w:sz w:val="28"/>
          <w:szCs w:val="28"/>
          <w:shd w:val="clear" w:color="auto" w:fill="FFFFFF"/>
        </w:rPr>
        <w:t>20.2.2  挂号信或EMS邮递：被送达方的签收日和发出通知方持有的国内挂号函件或EMS收据所示日后的第7日两者中的较早日期；</w:t>
      </w:r>
    </w:p>
    <w:p>
      <w:pPr>
        <w:spacing w:line="360" w:lineRule="auto"/>
        <w:ind w:firstLine="560" w:firstLineChars="200"/>
        <w:rPr>
          <w:rFonts w:hint="eastAsia" w:ascii="仿宋_GB2312" w:eastAsia="仿宋_GB2312"/>
          <w:sz w:val="28"/>
          <w:szCs w:val="28"/>
          <w:shd w:val="clear" w:color="auto" w:fill="FFFFFF"/>
        </w:rPr>
      </w:pPr>
      <w:r>
        <w:rPr>
          <w:rFonts w:hint="eastAsia" w:ascii="仿宋_GB2312" w:eastAsia="仿宋_GB2312"/>
          <w:sz w:val="28"/>
          <w:szCs w:val="28"/>
          <w:shd w:val="clear" w:color="auto" w:fill="FFFFFF"/>
        </w:rPr>
        <w:t>20.2.3  传真：对方确认收到后的第1个工作日；</w:t>
      </w:r>
    </w:p>
    <w:p>
      <w:pPr>
        <w:spacing w:line="360" w:lineRule="auto"/>
        <w:ind w:firstLine="560" w:firstLineChars="200"/>
        <w:rPr>
          <w:rFonts w:hint="eastAsia" w:ascii="仿宋_GB2312" w:eastAsia="仿宋_GB2312"/>
          <w:sz w:val="28"/>
          <w:szCs w:val="28"/>
          <w:shd w:val="clear" w:color="auto" w:fill="FFFFFF"/>
        </w:rPr>
      </w:pPr>
      <w:r>
        <w:rPr>
          <w:rFonts w:hint="eastAsia" w:ascii="仿宋_GB2312" w:eastAsia="仿宋_GB2312"/>
          <w:sz w:val="28"/>
          <w:szCs w:val="28"/>
          <w:shd w:val="clear" w:color="auto" w:fill="FFFFFF"/>
        </w:rPr>
        <w:t>20.2.4  电子邮件：数据电文进入对方特定系统的首次时间。</w:t>
      </w:r>
    </w:p>
    <w:p>
      <w:pPr>
        <w:spacing w:line="360" w:lineRule="auto"/>
        <w:ind w:firstLine="560" w:firstLineChars="200"/>
        <w:rPr>
          <w:rFonts w:hint="eastAsia" w:ascii="仿宋_GB2312" w:eastAsia="仿宋_GB2312"/>
          <w:sz w:val="28"/>
          <w:szCs w:val="28"/>
          <w:shd w:val="clear" w:color="auto" w:fill="FFFFFF"/>
        </w:rPr>
      </w:pPr>
      <w:r>
        <w:rPr>
          <w:rFonts w:hint="eastAsia" w:ascii="仿宋_GB2312" w:eastAsia="仿宋_GB2312"/>
          <w:sz w:val="28"/>
          <w:szCs w:val="28"/>
          <w:shd w:val="clear" w:color="auto" w:fill="FFFFFF"/>
        </w:rPr>
        <w:t>20.3  一方通讯地址或联络方式发生变化，应当自发生变化之日起3个工作日内以书面形式通知另一方。</w:t>
      </w:r>
    </w:p>
    <w:p>
      <w:pPr>
        <w:pStyle w:val="2"/>
        <w:jc w:val="center"/>
        <w:rPr>
          <w:rFonts w:hint="eastAsia" w:ascii="黑体" w:eastAsia="黑体"/>
          <w:b w:val="0"/>
          <w:sz w:val="28"/>
          <w:szCs w:val="28"/>
          <w:shd w:val="clear" w:color="auto" w:fill="FFFFFF"/>
          <w:lang/>
        </w:rPr>
      </w:pPr>
      <w:bookmarkStart w:id="36" w:name="_Toc293146998"/>
      <w:bookmarkStart w:id="37" w:name="_Toc319934300"/>
      <w:r>
        <w:rPr>
          <w:rFonts w:hint="eastAsia" w:ascii="黑体" w:eastAsia="黑体"/>
          <w:b w:val="0"/>
          <w:sz w:val="28"/>
          <w:szCs w:val="28"/>
          <w:shd w:val="clear" w:color="auto" w:fill="FFFFFF"/>
          <w:lang/>
        </w:rPr>
        <w:t>第二十一章  其他事项</w:t>
      </w:r>
      <w:bookmarkEnd w:id="36"/>
      <w:bookmarkEnd w:id="37"/>
    </w:p>
    <w:p>
      <w:pPr>
        <w:spacing w:line="360" w:lineRule="auto"/>
        <w:ind w:firstLine="560" w:firstLineChars="200"/>
        <w:rPr>
          <w:rFonts w:hint="eastAsia" w:ascii="仿宋_GB2312" w:eastAsia="仿宋_GB2312"/>
          <w:sz w:val="28"/>
          <w:szCs w:val="28"/>
          <w:shd w:val="clear" w:color="auto" w:fill="FFFFFF"/>
        </w:rPr>
      </w:pPr>
      <w:r>
        <w:rPr>
          <w:rFonts w:hint="eastAsia" w:ascii="仿宋_GB2312" w:eastAsia="仿宋_GB2312"/>
          <w:sz w:val="28"/>
          <w:szCs w:val="28"/>
          <w:shd w:val="clear" w:color="auto" w:fill="FFFFFF"/>
        </w:rPr>
        <w:t>21.1  本合同未尽事宜，由双方达成补充协议另行规定。补充协议与本合同具有同等法律效力。</w:t>
      </w:r>
    </w:p>
    <w:p>
      <w:pPr>
        <w:spacing w:line="360" w:lineRule="auto"/>
        <w:ind w:firstLine="560" w:firstLineChars="200"/>
        <w:rPr>
          <w:rFonts w:hint="eastAsia" w:ascii="仿宋_GB2312" w:eastAsia="仿宋_GB2312"/>
          <w:sz w:val="28"/>
          <w:szCs w:val="28"/>
          <w:shd w:val="clear" w:color="auto" w:fill="FFFFFF"/>
        </w:rPr>
      </w:pPr>
      <w:r>
        <w:rPr>
          <w:rFonts w:hint="eastAsia" w:ascii="仿宋_GB2312" w:eastAsia="仿宋_GB2312"/>
          <w:sz w:val="28"/>
          <w:szCs w:val="28"/>
          <w:shd w:val="clear" w:color="auto" w:fill="FFFFFF"/>
        </w:rPr>
        <w:t>21.2  乙方可就企业年金业务与甲方选定的托管人签订相关协议。</w:t>
      </w:r>
    </w:p>
    <w:p>
      <w:pPr>
        <w:spacing w:line="360" w:lineRule="auto"/>
        <w:ind w:firstLine="560" w:firstLineChars="200"/>
        <w:rPr>
          <w:rFonts w:hint="eastAsia" w:ascii="仿宋_GB2312" w:eastAsia="仿宋_GB2312"/>
          <w:sz w:val="28"/>
          <w:szCs w:val="28"/>
          <w:shd w:val="clear" w:color="auto" w:fill="FFFFFF"/>
        </w:rPr>
      </w:pPr>
      <w:r>
        <w:rPr>
          <w:rFonts w:hint="eastAsia" w:ascii="仿宋_GB2312" w:eastAsia="仿宋_GB2312"/>
          <w:sz w:val="28"/>
          <w:szCs w:val="28"/>
          <w:shd w:val="clear" w:color="auto" w:fill="FFFFFF"/>
        </w:rPr>
        <w:t>21.3  本合同生效期内，如法律法规规定发生变化导致本合同条款与其有抵触时，相抵触之处按新的法律法规规定执行。</w:t>
      </w:r>
    </w:p>
    <w:p>
      <w:pPr>
        <w:spacing w:line="360" w:lineRule="auto"/>
        <w:ind w:firstLine="560" w:firstLineChars="200"/>
        <w:rPr>
          <w:rFonts w:hint="eastAsia" w:ascii="仿宋_GB2312" w:eastAsia="仿宋_GB2312"/>
          <w:sz w:val="28"/>
          <w:szCs w:val="28"/>
          <w:shd w:val="clear" w:color="auto" w:fill="FFFFFF"/>
        </w:rPr>
      </w:pPr>
      <w:r>
        <w:rPr>
          <w:rFonts w:hint="eastAsia" w:ascii="仿宋_GB2312" w:eastAsia="仿宋_GB2312"/>
          <w:sz w:val="28"/>
          <w:szCs w:val="28"/>
          <w:shd w:val="clear" w:color="auto" w:fill="FFFFFF"/>
        </w:rPr>
        <w:t>21.4  本合同生效期内，如法律法规规定发生变化导致本合同需要报人力资源社会保障行政部门审核，由甲方负责办理。</w:t>
      </w:r>
    </w:p>
    <w:p>
      <w:pPr>
        <w:spacing w:line="360" w:lineRule="auto"/>
        <w:ind w:firstLine="560" w:firstLineChars="200"/>
        <w:rPr>
          <w:rFonts w:hint="eastAsia" w:ascii="仿宋_GB2312" w:eastAsia="仿宋_GB2312"/>
          <w:sz w:val="28"/>
          <w:szCs w:val="28"/>
          <w:shd w:val="clear" w:color="auto" w:fill="FFFFFF"/>
        </w:rPr>
      </w:pPr>
      <w:r>
        <w:rPr>
          <w:rFonts w:hint="eastAsia" w:ascii="仿宋_GB2312" w:eastAsia="仿宋_GB2312"/>
          <w:sz w:val="28"/>
          <w:szCs w:val="28"/>
          <w:shd w:val="clear" w:color="auto" w:fill="FFFFFF"/>
        </w:rPr>
        <w:t>21.5  如果本合同任何条款与相关法律法规规定不符而构成无效的，并不影响本合同其他条款的效力及可强制执行性。</w:t>
      </w:r>
    </w:p>
    <w:p>
      <w:pPr>
        <w:spacing w:line="360" w:lineRule="auto"/>
        <w:ind w:firstLine="560" w:firstLineChars="200"/>
        <w:rPr>
          <w:rFonts w:hint="eastAsia" w:ascii="仿宋_GB2312" w:eastAsia="仿宋_GB2312"/>
          <w:sz w:val="28"/>
          <w:szCs w:val="28"/>
          <w:shd w:val="clear" w:color="auto" w:fill="FFFFFF"/>
        </w:rPr>
      </w:pPr>
      <w:r>
        <w:rPr>
          <w:rFonts w:hint="eastAsia" w:ascii="仿宋_GB2312" w:eastAsia="仿宋_GB2312"/>
          <w:sz w:val="28"/>
          <w:szCs w:val="28"/>
          <w:shd w:val="clear" w:color="auto" w:fill="FFFFFF"/>
        </w:rPr>
        <w:t>21.6  本合同一式</w:t>
      </w:r>
      <w:r>
        <w:rPr>
          <w:rFonts w:hint="eastAsia" w:ascii="仿宋_GB2312" w:eastAsia="仿宋_GB2312"/>
          <w:sz w:val="28"/>
          <w:szCs w:val="28"/>
          <w:u w:val="single"/>
          <w:shd w:val="clear" w:color="auto" w:fill="FFFFFF"/>
        </w:rPr>
        <w:t xml:space="preserve">   </w:t>
      </w:r>
      <w:r>
        <w:rPr>
          <w:rFonts w:hint="eastAsia" w:ascii="仿宋_GB2312" w:eastAsia="仿宋_GB2312"/>
          <w:sz w:val="28"/>
          <w:szCs w:val="28"/>
          <w:shd w:val="clear" w:color="auto" w:fill="FFFFFF"/>
        </w:rPr>
        <w:t>份，由甲方、乙方各执</w:t>
      </w:r>
      <w:r>
        <w:rPr>
          <w:rFonts w:hint="eastAsia" w:ascii="仿宋_GB2312" w:eastAsia="仿宋_GB2312"/>
          <w:sz w:val="28"/>
          <w:szCs w:val="28"/>
          <w:u w:val="single"/>
          <w:shd w:val="clear" w:color="auto" w:fill="FFFFFF"/>
        </w:rPr>
        <w:t xml:space="preserve">   </w:t>
      </w:r>
      <w:r>
        <w:rPr>
          <w:rFonts w:hint="eastAsia" w:ascii="仿宋_GB2312" w:eastAsia="仿宋_GB2312"/>
          <w:sz w:val="28"/>
          <w:szCs w:val="28"/>
          <w:shd w:val="clear" w:color="auto" w:fill="FFFFFF"/>
        </w:rPr>
        <w:t>份，上报人力资源社会保障行政部门</w:t>
      </w:r>
      <w:r>
        <w:rPr>
          <w:rFonts w:hint="eastAsia" w:ascii="仿宋_GB2312" w:eastAsia="仿宋_GB2312"/>
          <w:sz w:val="28"/>
          <w:szCs w:val="28"/>
          <w:u w:val="single"/>
          <w:shd w:val="clear" w:color="auto" w:fill="FFFFFF"/>
        </w:rPr>
        <w:t xml:space="preserve">    </w:t>
      </w:r>
      <w:r>
        <w:rPr>
          <w:rFonts w:hint="eastAsia" w:ascii="仿宋_GB2312" w:eastAsia="仿宋_GB2312"/>
          <w:sz w:val="28"/>
          <w:szCs w:val="28"/>
          <w:shd w:val="clear" w:color="auto" w:fill="FFFFFF"/>
        </w:rPr>
        <w:t>份</w:t>
      </w:r>
      <w:ins w:id="6" w:author="user" w:date="2012-03-19T15:30:00Z">
        <w:r>
          <w:rPr>
            <w:rFonts w:hint="eastAsia" w:ascii="仿宋_GB2312" w:eastAsia="仿宋_GB2312"/>
            <w:sz w:val="28"/>
            <w:szCs w:val="28"/>
            <w:shd w:val="clear" w:color="auto" w:fill="FFFFFF"/>
          </w:rPr>
          <w:t>，</w:t>
        </w:r>
      </w:ins>
      <w:del w:id="7" w:author="user" w:date="2012-03-19T15:30:00Z">
        <w:r>
          <w:rPr>
            <w:rFonts w:hint="eastAsia" w:ascii="仿宋_GB2312" w:eastAsia="仿宋_GB2312"/>
            <w:sz w:val="28"/>
            <w:szCs w:val="28"/>
            <w:shd w:val="clear" w:color="auto" w:fill="FFFFFF"/>
          </w:rPr>
          <w:delText>。</w:delText>
        </w:r>
      </w:del>
      <w:r>
        <w:rPr>
          <w:rFonts w:hint="eastAsia" w:ascii="仿宋_GB2312" w:eastAsia="仿宋_GB2312"/>
          <w:sz w:val="28"/>
          <w:szCs w:val="28"/>
          <w:shd w:val="clear" w:color="auto" w:fill="FFFFFF"/>
        </w:rPr>
        <w:t>每份具有同等的法律效力。</w:t>
      </w:r>
    </w:p>
    <w:p>
      <w:pPr>
        <w:spacing w:line="360" w:lineRule="auto"/>
        <w:ind w:firstLine="420" w:firstLineChars="150"/>
        <w:rPr>
          <w:rFonts w:hint="eastAsia" w:ascii="仿宋_GB2312" w:eastAsia="仿宋_GB2312"/>
          <w:sz w:val="28"/>
          <w:szCs w:val="28"/>
        </w:rPr>
      </w:pPr>
      <w:r>
        <w:rPr>
          <w:rFonts w:hint="eastAsia" w:ascii="仿宋_GB2312" w:eastAsia="仿宋_GB2312"/>
          <w:sz w:val="28"/>
          <w:szCs w:val="28"/>
        </w:rPr>
        <w:t>（以下是本合同签署页。）</w:t>
      </w:r>
    </w:p>
    <w:p>
      <w:pPr>
        <w:spacing w:line="360" w:lineRule="auto"/>
        <w:ind w:firstLine="560" w:firstLineChars="200"/>
        <w:rPr>
          <w:rFonts w:hint="eastAsia" w:ascii="仿宋_GB2312" w:eastAsia="仿宋_GB2312"/>
          <w:sz w:val="28"/>
          <w:szCs w:val="28"/>
          <w:shd w:val="clear" w:color="auto" w:fill="FFFFFF"/>
        </w:rPr>
      </w:pPr>
    </w:p>
    <w:p>
      <w:pPr>
        <w:spacing w:line="360" w:lineRule="auto"/>
        <w:rPr>
          <w:rFonts w:hint="eastAsia" w:ascii="仿宋_GB2312" w:hAnsi="宋体" w:eastAsia="仿宋_GB2312"/>
          <w:sz w:val="28"/>
          <w:szCs w:val="28"/>
          <w:shd w:val="clear" w:color="auto" w:fill="FFFFFF"/>
        </w:rPr>
      </w:pPr>
      <w:r>
        <w:rPr>
          <w:rFonts w:hint="eastAsia" w:ascii="仿宋_GB2312" w:eastAsia="仿宋_GB2312"/>
          <w:sz w:val="28"/>
          <w:szCs w:val="28"/>
          <w:shd w:val="clear" w:color="auto" w:fill="FFFFFF"/>
        </w:rPr>
        <w:br w:type="page"/>
      </w:r>
      <w:r>
        <w:rPr>
          <w:rFonts w:hint="eastAsia" w:ascii="仿宋_GB2312" w:hAnsi="宋体" w:eastAsia="仿宋_GB2312"/>
          <w:sz w:val="28"/>
          <w:szCs w:val="28"/>
          <w:shd w:val="clear" w:color="auto" w:fill="FFFFFF"/>
        </w:rPr>
        <w:t>（本页是《</w:t>
      </w:r>
      <w:r>
        <w:rPr>
          <w:rFonts w:hint="eastAsia" w:ascii="仿宋_GB2312" w:hAnsi="宋体" w:eastAsia="仿宋_GB2312"/>
          <w:sz w:val="28"/>
          <w:szCs w:val="28"/>
          <w:u w:val="single"/>
          <w:shd w:val="clear" w:color="auto" w:fill="FFFFFF"/>
        </w:rPr>
        <w:t xml:space="preserve">       </w:t>
      </w:r>
      <w:r>
        <w:rPr>
          <w:rFonts w:hint="eastAsia" w:ascii="仿宋_GB2312" w:hAnsi="宋体" w:eastAsia="仿宋_GB2312"/>
          <w:sz w:val="28"/>
          <w:szCs w:val="28"/>
          <w:shd w:val="clear" w:color="auto" w:fill="FFFFFF"/>
        </w:rPr>
        <w:t>企业年金计划投资管理合同》签署页。）</w:t>
      </w:r>
    </w:p>
    <w:p>
      <w:pPr>
        <w:spacing w:line="360" w:lineRule="auto"/>
        <w:rPr>
          <w:rFonts w:hint="eastAsia" w:ascii="仿宋_GB2312" w:eastAsia="仿宋_GB2312"/>
          <w:sz w:val="28"/>
          <w:szCs w:val="28"/>
          <w:shd w:val="clear" w:color="auto" w:fill="FFFFFF"/>
        </w:rPr>
      </w:pPr>
    </w:p>
    <w:p>
      <w:pPr>
        <w:spacing w:line="360" w:lineRule="auto"/>
        <w:rPr>
          <w:rFonts w:hint="eastAsia" w:ascii="仿宋_GB2312" w:eastAsia="仿宋_GB2312"/>
          <w:sz w:val="28"/>
          <w:szCs w:val="28"/>
          <w:shd w:val="clear" w:color="auto" w:fill="FFFFFF"/>
        </w:rPr>
      </w:pPr>
    </w:p>
    <w:p>
      <w:pPr>
        <w:spacing w:line="360" w:lineRule="auto"/>
        <w:rPr>
          <w:rFonts w:hint="eastAsia" w:ascii="仿宋_GB2312" w:eastAsia="仿宋_GB2312"/>
          <w:sz w:val="28"/>
          <w:szCs w:val="28"/>
          <w:shd w:val="clear" w:color="auto" w:fill="FFFFFF"/>
        </w:rPr>
      </w:pPr>
      <w:r>
        <w:rPr>
          <w:rFonts w:hint="eastAsia" w:ascii="仿宋_GB2312" w:eastAsia="仿宋_GB2312"/>
          <w:sz w:val="28"/>
          <w:szCs w:val="28"/>
          <w:shd w:val="clear" w:color="auto" w:fill="FFFFFF"/>
        </w:rPr>
        <w:t xml:space="preserve">甲方（公章）： </w:t>
      </w:r>
    </w:p>
    <w:p>
      <w:pPr>
        <w:spacing w:line="360" w:lineRule="auto"/>
        <w:rPr>
          <w:rFonts w:hint="eastAsia" w:ascii="仿宋_GB2312" w:eastAsia="仿宋_GB2312"/>
          <w:sz w:val="28"/>
          <w:szCs w:val="28"/>
          <w:shd w:val="clear" w:color="auto" w:fill="FFFFFF"/>
        </w:rPr>
      </w:pPr>
    </w:p>
    <w:p>
      <w:pPr>
        <w:spacing w:line="360" w:lineRule="auto"/>
        <w:rPr>
          <w:rFonts w:hint="eastAsia" w:ascii="仿宋_GB2312" w:eastAsia="仿宋_GB2312"/>
          <w:sz w:val="28"/>
          <w:szCs w:val="28"/>
          <w:shd w:val="clear" w:color="auto" w:fill="FFFFFF"/>
        </w:rPr>
      </w:pPr>
      <w:r>
        <w:rPr>
          <w:rFonts w:hint="eastAsia" w:ascii="仿宋_GB2312" w:eastAsia="仿宋_GB2312"/>
          <w:sz w:val="28"/>
          <w:szCs w:val="28"/>
          <w:shd w:val="clear" w:color="auto" w:fill="FFFFFF"/>
        </w:rPr>
        <w:t>法定代表人（或授权代表）签字</w:t>
      </w:r>
      <w:r>
        <w:rPr>
          <w:rFonts w:hint="eastAsia" w:ascii="仿宋_GB2312" w:eastAsia="仿宋_GB2312"/>
          <w:sz w:val="28"/>
          <w:szCs w:val="28"/>
        </w:rPr>
        <w:t>（或签章）</w:t>
      </w:r>
      <w:r>
        <w:rPr>
          <w:rFonts w:hint="eastAsia" w:ascii="仿宋_GB2312" w:eastAsia="仿宋_GB2312"/>
          <w:sz w:val="28"/>
          <w:szCs w:val="28"/>
          <w:shd w:val="clear" w:color="auto" w:fill="FFFFFF"/>
        </w:rPr>
        <w:t>：</w:t>
      </w:r>
    </w:p>
    <w:p>
      <w:pPr>
        <w:spacing w:line="360" w:lineRule="auto"/>
        <w:rPr>
          <w:rFonts w:hint="eastAsia" w:ascii="仿宋_GB2312" w:eastAsia="仿宋_GB2312"/>
          <w:sz w:val="28"/>
          <w:szCs w:val="28"/>
          <w:shd w:val="clear" w:color="auto" w:fill="FFFFFF"/>
        </w:rPr>
      </w:pPr>
    </w:p>
    <w:p>
      <w:pPr>
        <w:spacing w:line="360" w:lineRule="auto"/>
        <w:rPr>
          <w:rFonts w:hint="eastAsia" w:ascii="仿宋_GB2312" w:eastAsia="仿宋_GB2312"/>
          <w:sz w:val="28"/>
          <w:szCs w:val="28"/>
          <w:shd w:val="clear" w:color="auto" w:fill="FFFFFF"/>
        </w:rPr>
      </w:pPr>
      <w:r>
        <w:rPr>
          <w:rFonts w:hint="eastAsia" w:ascii="仿宋_GB2312" w:eastAsia="仿宋_GB2312"/>
          <w:sz w:val="28"/>
          <w:szCs w:val="28"/>
          <w:shd w:val="clear" w:color="auto" w:fill="FFFFFF"/>
        </w:rPr>
        <w:t>签署日期：       年    月    日</w:t>
      </w:r>
    </w:p>
    <w:p>
      <w:pPr>
        <w:spacing w:line="360" w:lineRule="auto"/>
        <w:rPr>
          <w:rFonts w:hint="eastAsia" w:ascii="仿宋_GB2312" w:eastAsia="仿宋_GB2312"/>
          <w:sz w:val="28"/>
          <w:szCs w:val="28"/>
          <w:shd w:val="clear" w:color="auto" w:fill="FFFFFF"/>
        </w:rPr>
      </w:pPr>
    </w:p>
    <w:p>
      <w:pPr>
        <w:spacing w:line="360" w:lineRule="auto"/>
        <w:rPr>
          <w:rFonts w:hint="eastAsia" w:ascii="仿宋_GB2312" w:eastAsia="仿宋_GB2312"/>
          <w:sz w:val="28"/>
          <w:szCs w:val="28"/>
          <w:shd w:val="clear" w:color="auto" w:fill="FFFFFF"/>
        </w:rPr>
      </w:pPr>
    </w:p>
    <w:p>
      <w:pPr>
        <w:spacing w:line="360" w:lineRule="auto"/>
        <w:rPr>
          <w:rFonts w:hint="eastAsia" w:ascii="仿宋_GB2312" w:eastAsia="仿宋_GB2312"/>
          <w:sz w:val="28"/>
          <w:szCs w:val="28"/>
          <w:shd w:val="clear" w:color="auto" w:fill="FFFFFF"/>
        </w:rPr>
      </w:pPr>
    </w:p>
    <w:p>
      <w:pPr>
        <w:spacing w:line="360" w:lineRule="auto"/>
        <w:rPr>
          <w:rFonts w:hint="eastAsia" w:ascii="仿宋_GB2312" w:eastAsia="仿宋_GB2312"/>
          <w:sz w:val="28"/>
          <w:szCs w:val="28"/>
          <w:shd w:val="clear" w:color="auto" w:fill="FFFFFF"/>
        </w:rPr>
      </w:pPr>
      <w:r>
        <w:rPr>
          <w:rFonts w:hint="eastAsia" w:ascii="仿宋_GB2312" w:eastAsia="仿宋_GB2312"/>
          <w:sz w:val="28"/>
          <w:szCs w:val="28"/>
          <w:shd w:val="clear" w:color="auto" w:fill="FFFFFF"/>
        </w:rPr>
        <w:t>乙方（公章）：</w:t>
      </w:r>
    </w:p>
    <w:p>
      <w:pPr>
        <w:spacing w:line="360" w:lineRule="auto"/>
        <w:rPr>
          <w:rFonts w:hint="eastAsia" w:ascii="仿宋_GB2312" w:eastAsia="仿宋_GB2312"/>
          <w:sz w:val="28"/>
          <w:szCs w:val="28"/>
          <w:shd w:val="clear" w:color="auto" w:fill="FFFFFF"/>
        </w:rPr>
      </w:pPr>
    </w:p>
    <w:p>
      <w:pPr>
        <w:spacing w:line="360" w:lineRule="auto"/>
        <w:rPr>
          <w:rFonts w:hint="eastAsia" w:ascii="仿宋_GB2312" w:eastAsia="仿宋_GB2312"/>
          <w:sz w:val="28"/>
          <w:szCs w:val="28"/>
          <w:shd w:val="clear" w:color="auto" w:fill="FFFFFF"/>
        </w:rPr>
      </w:pPr>
      <w:r>
        <w:rPr>
          <w:rFonts w:hint="eastAsia" w:ascii="仿宋_GB2312" w:eastAsia="仿宋_GB2312"/>
          <w:sz w:val="28"/>
          <w:szCs w:val="28"/>
          <w:shd w:val="clear" w:color="auto" w:fill="FFFFFF"/>
        </w:rPr>
        <w:t>法定代表人（或授权代表）签字</w:t>
      </w:r>
      <w:r>
        <w:rPr>
          <w:rFonts w:hint="eastAsia" w:ascii="仿宋_GB2312" w:eastAsia="仿宋_GB2312"/>
          <w:sz w:val="28"/>
          <w:szCs w:val="28"/>
        </w:rPr>
        <w:t>（或签章）</w:t>
      </w:r>
      <w:r>
        <w:rPr>
          <w:rFonts w:hint="eastAsia" w:ascii="仿宋_GB2312" w:eastAsia="仿宋_GB2312"/>
          <w:sz w:val="28"/>
          <w:szCs w:val="28"/>
          <w:shd w:val="clear" w:color="auto" w:fill="FFFFFF"/>
        </w:rPr>
        <w:t>：</w:t>
      </w:r>
    </w:p>
    <w:p>
      <w:pPr>
        <w:spacing w:line="360" w:lineRule="auto"/>
        <w:rPr>
          <w:rFonts w:hint="eastAsia" w:ascii="仿宋_GB2312" w:eastAsia="仿宋_GB2312"/>
          <w:sz w:val="28"/>
          <w:szCs w:val="28"/>
          <w:shd w:val="clear" w:color="auto" w:fill="FFFFFF"/>
        </w:rPr>
      </w:pPr>
    </w:p>
    <w:p>
      <w:pPr>
        <w:spacing w:line="360" w:lineRule="auto"/>
        <w:rPr>
          <w:rFonts w:hint="eastAsia" w:ascii="仿宋_GB2312" w:eastAsia="仿宋_GB2312"/>
          <w:sz w:val="28"/>
          <w:szCs w:val="28"/>
          <w:shd w:val="clear" w:color="auto" w:fill="FFFFFF"/>
        </w:rPr>
      </w:pPr>
      <w:r>
        <w:rPr>
          <w:rFonts w:hint="eastAsia" w:ascii="仿宋_GB2312" w:eastAsia="仿宋_GB2312"/>
          <w:sz w:val="28"/>
          <w:szCs w:val="28"/>
          <w:shd w:val="clear" w:color="auto" w:fill="FFFFFF"/>
        </w:rPr>
        <w:t>签署日期：        年    月    日</w:t>
      </w:r>
    </w:p>
    <w:p>
      <w:pPr>
        <w:spacing w:before="60" w:after="60" w:line="360" w:lineRule="auto"/>
        <w:rPr>
          <w:rStyle w:val="17"/>
          <w:rFonts w:hint="eastAsia" w:ascii="仿宋_GB2312" w:eastAsia="仿宋_GB2312"/>
          <w:sz w:val="28"/>
          <w:szCs w:val="28"/>
          <w:shd w:val="clear" w:color="auto" w:fill="FFFFFF"/>
        </w:rPr>
      </w:pPr>
      <w:r>
        <w:rPr>
          <w:rStyle w:val="17"/>
          <w:rFonts w:hint="eastAsia" w:ascii="仿宋_GB2312" w:eastAsia="仿宋_GB2312"/>
          <w:sz w:val="28"/>
          <w:szCs w:val="28"/>
          <w:shd w:val="clear" w:color="auto" w:fill="FFFFFF"/>
        </w:rPr>
        <w:br w:type="page"/>
      </w:r>
    </w:p>
    <w:p>
      <w:pPr>
        <w:spacing w:before="60" w:after="60" w:line="360" w:lineRule="auto"/>
        <w:ind w:firstLine="560" w:firstLineChars="200"/>
        <w:rPr>
          <w:rFonts w:hint="eastAsia" w:ascii="仿宋_GB2312" w:eastAsia="仿宋_GB2312"/>
          <w:sz w:val="28"/>
          <w:szCs w:val="28"/>
          <w:shd w:val="clear" w:color="auto" w:fill="FFFFFF"/>
        </w:rPr>
      </w:pPr>
      <w:r>
        <w:rPr>
          <w:rFonts w:hint="eastAsia" w:ascii="仿宋_GB2312" w:eastAsia="仿宋_GB2312"/>
          <w:sz w:val="28"/>
          <w:szCs w:val="28"/>
          <w:shd w:val="clear" w:color="auto" w:fill="FFFFFF"/>
        </w:rPr>
        <w:t>附件一： 投资政策（包含但不限于投资目标、投资基准、投资范围和投资比例、禁止行为等内容）</w:t>
      </w:r>
    </w:p>
    <w:p>
      <w:pPr>
        <w:spacing w:line="360" w:lineRule="auto"/>
        <w:ind w:left="-2" w:leftChars="-1" w:firstLine="560" w:firstLineChars="200"/>
        <w:rPr>
          <w:rStyle w:val="17"/>
          <w:rFonts w:hint="eastAsia" w:ascii="仿宋_GB2312" w:eastAsia="仿宋_GB2312"/>
          <w:b w:val="0"/>
          <w:sz w:val="28"/>
          <w:szCs w:val="28"/>
          <w:shd w:val="clear" w:color="auto" w:fill="FFFFFF"/>
        </w:rPr>
      </w:pPr>
      <w:r>
        <w:rPr>
          <w:rStyle w:val="17"/>
          <w:rFonts w:hint="eastAsia" w:ascii="仿宋_GB2312" w:eastAsia="仿宋_GB2312"/>
          <w:b w:val="0"/>
          <w:sz w:val="28"/>
          <w:szCs w:val="28"/>
          <w:shd w:val="clear" w:color="auto" w:fill="FFFFFF"/>
        </w:rPr>
        <w:t>附件二： 投资经理资料</w:t>
      </w:r>
    </w:p>
    <w:p>
      <w:pPr>
        <w:spacing w:line="360" w:lineRule="auto"/>
        <w:ind w:left="-1" w:leftChars="-1" w:hanging="1"/>
        <w:rPr>
          <w:rStyle w:val="17"/>
          <w:rFonts w:hint="eastAsia" w:ascii="仿宋_GB2312" w:eastAsia="仿宋_GB2312"/>
          <w:sz w:val="28"/>
          <w:szCs w:val="28"/>
          <w:shd w:val="clear" w:color="auto" w:fill="FFFFFF"/>
        </w:rPr>
      </w:pPr>
    </w:p>
    <w:p>
      <w:pPr>
        <w:spacing w:line="360" w:lineRule="auto"/>
        <w:ind w:left="-1" w:leftChars="-1" w:hanging="1"/>
        <w:rPr>
          <w:rStyle w:val="17"/>
          <w:rFonts w:hint="eastAsia" w:ascii="仿宋_GB2312" w:eastAsia="仿宋_GB2312"/>
          <w:sz w:val="28"/>
          <w:szCs w:val="28"/>
          <w:shd w:val="clear" w:color="auto" w:fill="FFFFFF"/>
        </w:rPr>
      </w:pPr>
    </w:p>
    <w:sectPr>
      <w:footerReference r:id="rId7" w:type="first"/>
      <w:footerReference r:id="rId6" w:type="default"/>
      <w:pgSz w:w="11906" w:h="16838"/>
      <w:pgMar w:top="1440" w:right="1797" w:bottom="1440" w:left="1797" w:header="851" w:footer="992"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Courier New">
    <w:panose1 w:val="02070309020205020404"/>
    <w:charset w:val="00"/>
    <w:family w:val="modern"/>
    <w:pitch w:val="default"/>
    <w:sig w:usb0="E0002AFF" w:usb1="C0007843" w:usb2="00000009" w:usb3="00000000" w:csb0="400001FF" w:csb1="FFFF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18"/>
      </w:rPr>
    </w:pPr>
    <w:r>
      <w:fldChar w:fldCharType="begin"/>
    </w:r>
    <w:r>
      <w:rPr>
        <w:rStyle w:val="18"/>
      </w:rPr>
      <w:instrText xml:space="preserve">PAGE  </w:instrText>
    </w:r>
    <w:r>
      <w:fldChar w:fldCharType="separate"/>
    </w:r>
    <w:r>
      <w:fldChar w:fldCharType="end"/>
    </w:r>
  </w:p>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hint="eastAsia" w:ascii="仿宋_GB2312" w:eastAsia="仿宋_GB2312"/>
        <w:sz w:val="21"/>
        <w:szCs w:val="21"/>
      </w:rPr>
    </w:pPr>
  </w:p>
  <w:p>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hint="eastAsia" w:ascii="仿宋_GB2312" w:eastAsia="仿宋_GB2312"/>
        <w:sz w:val="21"/>
        <w:szCs w:val="21"/>
      </w:rPr>
    </w:pPr>
    <w:r>
      <w:rPr>
        <w:rFonts w:hint="eastAsia" w:ascii="仿宋_GB2312" w:eastAsia="仿宋_GB2312"/>
        <w:sz w:val="21"/>
        <w:szCs w:val="21"/>
      </w:rPr>
      <w:fldChar w:fldCharType="begin"/>
    </w:r>
    <w:r>
      <w:rPr>
        <w:rFonts w:hint="eastAsia" w:ascii="仿宋_GB2312" w:eastAsia="仿宋_GB2312"/>
        <w:sz w:val="21"/>
        <w:szCs w:val="21"/>
      </w:rPr>
      <w:instrText xml:space="preserve"> PAGE   \* MERGEFORMAT </w:instrText>
    </w:r>
    <w:r>
      <w:rPr>
        <w:rFonts w:hint="eastAsia" w:ascii="仿宋_GB2312" w:eastAsia="仿宋_GB2312"/>
        <w:sz w:val="21"/>
        <w:szCs w:val="21"/>
      </w:rPr>
      <w:fldChar w:fldCharType="separate"/>
    </w:r>
    <w:r>
      <w:rPr>
        <w:rFonts w:ascii="仿宋_GB2312" w:eastAsia="仿宋_GB2312"/>
        <w:sz w:val="21"/>
        <w:szCs w:val="21"/>
        <w:lang w:val="zh-CN"/>
      </w:rPr>
      <w:t>12</w:t>
    </w:r>
    <w:r>
      <w:rPr>
        <w:rFonts w:hint="eastAsia" w:ascii="仿宋_GB2312" w:eastAsia="仿宋_GB2312"/>
        <w:sz w:val="21"/>
        <w:szCs w:val="21"/>
      </w:rPr>
      <w:fldChar w:fldCharType="end"/>
    </w:r>
  </w:p>
  <w:p>
    <w:pPr>
      <w:pStyle w:val="1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hint="eastAsia" w:ascii="仿宋_GB2312" w:eastAsia="仿宋_GB2312"/>
        <w:sz w:val="21"/>
        <w:szCs w:val="21"/>
      </w:rPr>
    </w:pPr>
    <w:r>
      <w:rPr>
        <w:rFonts w:hint="eastAsia" w:ascii="仿宋_GB2312" w:eastAsia="仿宋_GB2312"/>
        <w:sz w:val="21"/>
        <w:szCs w:val="21"/>
      </w:rPr>
      <w:fldChar w:fldCharType="begin"/>
    </w:r>
    <w:r>
      <w:rPr>
        <w:rFonts w:hint="eastAsia" w:ascii="仿宋_GB2312" w:eastAsia="仿宋_GB2312"/>
        <w:sz w:val="21"/>
        <w:szCs w:val="21"/>
      </w:rPr>
      <w:instrText xml:space="preserve"> PAGE   \* MERGEFORMAT </w:instrText>
    </w:r>
    <w:r>
      <w:rPr>
        <w:rFonts w:hint="eastAsia" w:ascii="仿宋_GB2312" w:eastAsia="仿宋_GB2312"/>
        <w:sz w:val="21"/>
        <w:szCs w:val="21"/>
      </w:rPr>
      <w:fldChar w:fldCharType="separate"/>
    </w:r>
    <w:r>
      <w:rPr>
        <w:rFonts w:ascii="仿宋_GB2312" w:eastAsia="仿宋_GB2312"/>
        <w:sz w:val="21"/>
        <w:szCs w:val="21"/>
        <w:lang w:val="zh-CN"/>
      </w:rPr>
      <w:t>1</w:t>
    </w:r>
    <w:r>
      <w:rPr>
        <w:rFonts w:hint="eastAsia" w:ascii="仿宋_GB2312" w:eastAsia="仿宋_GB2312"/>
        <w:sz w:val="21"/>
        <w:szCs w:val="21"/>
      </w:rPr>
      <w:fldChar w:fldCharType="end"/>
    </w:r>
  </w:p>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revisionView w:markup="0"/>
  <w:trackRevisions w:val="1"/>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746D8F"/>
    <w:rsid w:val="007D34BC"/>
    <w:rsid w:val="00C87F4B"/>
    <w:rsid w:val="00F9433C"/>
    <w:rsid w:val="42A44085"/>
  </w:rsid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nhideWhenUsed="0" w:uiPriority="0" w:semiHidden="0"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nhideWhenUsed="0" w:uiPriority="0" w:semiHidden="0"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nhideWhenUsed="0" w:uiPriority="0" w:semiHidden="0"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0" w:semiHidden="0" w:name=""/>
    <w:lsdException w:qFormat="1" w:unhideWhenUsed="0" w:uiPriority="0" w:semiHidden="0" w:nam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paragraph" w:styleId="2">
    <w:name w:val="heading 1"/>
    <w:basedOn w:val="1"/>
    <w:next w:val="1"/>
    <w:qFormat/>
    <w:uiPriority w:val="0"/>
    <w:pPr>
      <w:keepNext/>
      <w:keepLines/>
      <w:spacing w:before="340" w:beforeLines="0" w:after="330" w:afterLines="0" w:line="576" w:lineRule="auto"/>
      <w:outlineLvl w:val="0"/>
    </w:pPr>
    <w:rPr>
      <w:b/>
      <w:bCs/>
      <w:kern w:val="44"/>
      <w:sz w:val="44"/>
      <w:szCs w:val="44"/>
    </w:rPr>
  </w:style>
  <w:style w:type="paragraph" w:styleId="3">
    <w:name w:val="heading 2"/>
    <w:basedOn w:val="1"/>
    <w:next w:val="1"/>
    <w:qFormat/>
    <w:uiPriority w:val="0"/>
    <w:pPr>
      <w:keepNext/>
      <w:keepLines/>
      <w:spacing w:before="260" w:beforeLines="0" w:after="260" w:afterLines="0" w:line="415" w:lineRule="auto"/>
      <w:outlineLvl w:val="1"/>
    </w:pPr>
    <w:rPr>
      <w:rFonts w:ascii="Arial" w:hAnsi="Arial" w:eastAsia="黑体"/>
      <w:b/>
      <w:bCs/>
      <w:sz w:val="32"/>
      <w:szCs w:val="32"/>
    </w:rPr>
  </w:style>
  <w:style w:type="character" w:default="1" w:styleId="16">
    <w:name w:val="Default Paragraph Font"/>
    <w:uiPriority w:val="0"/>
  </w:style>
  <w:style w:type="table" w:default="1" w:styleId="21">
    <w:name w:val="Normal Table"/>
    <w:unhideWhenUsed/>
    <w:uiPriority w:val="99"/>
    <w:tblPr>
      <w:tblStyle w:val="21"/>
      <w:tblLayout w:type="fixed"/>
      <w:tblCellMar>
        <w:top w:w="0" w:type="dxa"/>
        <w:left w:w="108" w:type="dxa"/>
        <w:bottom w:w="0" w:type="dxa"/>
        <w:right w:w="108" w:type="dxa"/>
      </w:tblCellMar>
    </w:tblPr>
    <w:tcPr>
      <w:textDirection w:val="lrTb"/>
    </w:tcPr>
  </w:style>
  <w:style w:type="paragraph" w:styleId="4">
    <w:name w:val="annotation subject"/>
    <w:basedOn w:val="5"/>
    <w:next w:val="5"/>
    <w:uiPriority w:val="0"/>
    <w:rPr>
      <w:b/>
      <w:bCs/>
    </w:rPr>
  </w:style>
  <w:style w:type="paragraph" w:styleId="5">
    <w:name w:val="annotation text"/>
    <w:basedOn w:val="1"/>
    <w:link w:val="30"/>
    <w:uiPriority w:val="0"/>
    <w:pPr>
      <w:jc w:val="left"/>
    </w:pPr>
    <w:rPr>
      <w:kern w:val="2"/>
      <w:sz w:val="21"/>
      <w:szCs w:val="24"/>
    </w:rPr>
  </w:style>
  <w:style w:type="paragraph" w:styleId="6">
    <w:name w:val="Document Map"/>
    <w:basedOn w:val="1"/>
    <w:uiPriority w:val="0"/>
    <w:pPr>
      <w:shd w:val="clear" w:color="auto" w:fill="000080"/>
    </w:pPr>
  </w:style>
  <w:style w:type="paragraph" w:styleId="7">
    <w:name w:val="Body Text Indent"/>
    <w:basedOn w:val="1"/>
    <w:uiPriority w:val="0"/>
    <w:pPr>
      <w:snapToGrid w:val="0"/>
      <w:spacing w:line="360" w:lineRule="auto"/>
      <w:ind w:firstLine="480" w:firstLineChars="200"/>
    </w:pPr>
    <w:rPr>
      <w:rFonts w:ascii="宋体" w:hAnsi="宋体"/>
      <w:sz w:val="24"/>
    </w:rPr>
  </w:style>
  <w:style w:type="paragraph" w:styleId="8">
    <w:name w:val="Plain Text"/>
    <w:basedOn w:val="1"/>
    <w:link w:val="28"/>
    <w:uiPriority w:val="0"/>
    <w:rPr>
      <w:rFonts w:ascii="宋体" w:hAnsi="Courier New" w:cs="Courier New"/>
      <w:kern w:val="2"/>
      <w:sz w:val="21"/>
      <w:szCs w:val="21"/>
    </w:rPr>
  </w:style>
  <w:style w:type="paragraph" w:styleId="9">
    <w:name w:val="Date"/>
    <w:basedOn w:val="1"/>
    <w:next w:val="1"/>
    <w:uiPriority w:val="0"/>
    <w:pPr>
      <w:ind w:left="100" w:leftChars="2500"/>
    </w:pPr>
  </w:style>
  <w:style w:type="paragraph" w:styleId="10">
    <w:name w:val="Balloon Text"/>
    <w:basedOn w:val="1"/>
    <w:uiPriority w:val="0"/>
    <w:rPr>
      <w:sz w:val="18"/>
      <w:szCs w:val="18"/>
    </w:rPr>
  </w:style>
  <w:style w:type="paragraph" w:styleId="11">
    <w:name w:val="footer"/>
    <w:basedOn w:val="1"/>
    <w:link w:val="29"/>
    <w:uiPriority w:val="0"/>
    <w:pPr>
      <w:tabs>
        <w:tab w:val="center" w:pos="4153"/>
        <w:tab w:val="right" w:pos="8306"/>
      </w:tabs>
      <w:snapToGrid w:val="0"/>
      <w:jc w:val="left"/>
    </w:pPr>
    <w:rPr>
      <w:kern w:val="2"/>
      <w:sz w:val="18"/>
      <w:szCs w:val="18"/>
    </w:rPr>
  </w:style>
  <w:style w:type="paragraph" w:styleId="12">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uiPriority w:val="0"/>
    <w:pPr>
      <w:tabs>
        <w:tab w:val="right" w:leader="dot" w:pos="8302"/>
      </w:tabs>
      <w:spacing w:line="360" w:lineRule="auto"/>
      <w:jc w:val="center"/>
    </w:pPr>
    <w:rPr>
      <w:rFonts w:ascii="黑体" w:eastAsia="黑体"/>
      <w:b/>
      <w:sz w:val="28"/>
      <w:szCs w:val="28"/>
      <w:lang/>
    </w:rPr>
  </w:style>
  <w:style w:type="paragraph" w:styleId="14">
    <w:name w:val="Normal (Web)"/>
    <w:basedOn w:val="1"/>
    <w:uiPriority w:val="0"/>
    <w:pPr>
      <w:widowControl/>
      <w:spacing w:before="100" w:beforeLines="0" w:beforeAutospacing="1" w:after="100" w:afterLines="0" w:afterAutospacing="1"/>
      <w:jc w:val="left"/>
    </w:pPr>
    <w:rPr>
      <w:rFonts w:ascii="宋体" w:hAnsi="宋体" w:cs="宋体"/>
      <w:kern w:val="0"/>
      <w:sz w:val="24"/>
    </w:rPr>
  </w:style>
  <w:style w:type="paragraph" w:styleId="15">
    <w:name w:val="index 1"/>
    <w:basedOn w:val="1"/>
    <w:next w:val="1"/>
    <w:uiPriority w:val="0"/>
  </w:style>
  <w:style w:type="character" w:styleId="17">
    <w:name w:val="Strong"/>
    <w:qFormat/>
    <w:uiPriority w:val="0"/>
    <w:rPr>
      <w:b/>
      <w:bCs/>
    </w:rPr>
  </w:style>
  <w:style w:type="character" w:styleId="18">
    <w:name w:val="page number"/>
    <w:basedOn w:val="16"/>
    <w:uiPriority w:val="0"/>
  </w:style>
  <w:style w:type="character" w:styleId="19">
    <w:name w:val="Hyperlink"/>
    <w:uiPriority w:val="0"/>
    <w:rPr>
      <w:color w:val="0000FF"/>
      <w:u w:val="single"/>
    </w:rPr>
  </w:style>
  <w:style w:type="character" w:styleId="20">
    <w:name w:val="annotation reference"/>
    <w:uiPriority w:val="0"/>
    <w:rPr>
      <w:sz w:val="21"/>
      <w:szCs w:val="21"/>
    </w:rPr>
  </w:style>
  <w:style w:type="paragraph" w:customStyle="1" w:styleId="22">
    <w:name w:val=" Char"/>
    <w:basedOn w:val="1"/>
    <w:uiPriority w:val="0"/>
    <w:rPr>
      <w:rFonts w:ascii="Tahoma" w:hAnsi="Tahoma"/>
      <w:sz w:val="24"/>
      <w:szCs w:val="20"/>
    </w:rPr>
  </w:style>
  <w:style w:type="paragraph" w:customStyle="1" w:styleId="23">
    <w:name w:val=" Char Char Char"/>
    <w:basedOn w:val="1"/>
    <w:uiPriority w:val="0"/>
  </w:style>
  <w:style w:type="paragraph" w:customStyle="1" w:styleId="24">
    <w:name w:val=" Char Char Char1 Char Char Char1 Char Char Char Char"/>
    <w:basedOn w:val="1"/>
    <w:uiPriority w:val="0"/>
    <w:rPr>
      <w:szCs w:val="21"/>
    </w:rPr>
  </w:style>
  <w:style w:type="paragraph" w:customStyle="1" w:styleId="25">
    <w:name w:val="Char"/>
    <w:basedOn w:val="1"/>
    <w:uiPriority w:val="0"/>
    <w:pPr>
      <w:widowControl/>
      <w:spacing w:after="160" w:afterLines="0" w:line="240" w:lineRule="exact"/>
      <w:jc w:val="left"/>
    </w:pPr>
    <w:rPr>
      <w:rFonts w:ascii="Verdana" w:hAnsi="Verdana" w:cs="Verdana"/>
      <w:kern w:val="0"/>
      <w:sz w:val="20"/>
      <w:szCs w:val="20"/>
      <w:lang w:eastAsia="en-US"/>
    </w:rPr>
  </w:style>
  <w:style w:type="paragraph" w:styleId="26">
    <w:name w:val=""/>
    <w:basedOn w:val="1"/>
    <w:qFormat/>
    <w:uiPriority w:val="0"/>
    <w:pPr>
      <w:ind w:firstLine="420" w:firstLineChars="200"/>
    </w:pPr>
    <w:rPr>
      <w:rFonts w:ascii="Calibri" w:hAnsi="Calibri" w:eastAsia="宋体" w:cs="Times New Roman"/>
      <w:szCs w:val="22"/>
    </w:rPr>
  </w:style>
  <w:style w:type="paragraph" w:styleId="27">
    <w:name w:val=""/>
    <w:uiPriority w:val="0"/>
    <w:rPr>
      <w:kern w:val="2"/>
      <w:sz w:val="21"/>
      <w:szCs w:val="24"/>
      <w:lang w:val="en-US" w:eastAsia="zh-CN" w:bidi="ar-SA"/>
    </w:rPr>
  </w:style>
  <w:style w:type="character" w:customStyle="1" w:styleId="28">
    <w:name w:val="纯文本 Char"/>
    <w:link w:val="8"/>
    <w:uiPriority w:val="0"/>
    <w:rPr>
      <w:rFonts w:ascii="宋体" w:hAnsi="Courier New" w:cs="Courier New"/>
      <w:kern w:val="2"/>
      <w:sz w:val="21"/>
      <w:szCs w:val="21"/>
    </w:rPr>
  </w:style>
  <w:style w:type="character" w:customStyle="1" w:styleId="29">
    <w:name w:val="页脚 Char"/>
    <w:link w:val="11"/>
    <w:uiPriority w:val="0"/>
    <w:rPr>
      <w:kern w:val="2"/>
      <w:sz w:val="18"/>
      <w:szCs w:val="18"/>
    </w:rPr>
  </w:style>
  <w:style w:type="character" w:customStyle="1" w:styleId="30">
    <w:name w:val="批注文字 Char"/>
    <w:link w:val="5"/>
    <w:uiPriority w:val="0"/>
    <w:rPr>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image" Target="media/image4.png"/><Relationship Id="rId13" Type="http://schemas.openxmlformats.org/officeDocument/2006/relationships/image" Target="media/image3.png"/><Relationship Id="rId12" Type="http://schemas.openxmlformats.org/officeDocument/2006/relationships/image" Target="media/image2.wmf"/><Relationship Id="rId11" Type="http://schemas.openxmlformats.org/officeDocument/2006/relationships/oleObject" Target="embeddings/oleObject2.bin"/><Relationship Id="rId10" Type="http://schemas.openxmlformats.org/officeDocument/2006/relationships/image" Target="media/image1.wmf"/><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DD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40</Pages>
  <Words>3017</Words>
  <Characters>17203</Characters>
  <Lines>143</Lines>
  <Paragraphs>40</Paragraphs>
  <ScaleCrop>false</ScaleCrop>
  <LinksUpToDate>false</LinksUpToDate>
  <CharactersWithSpaces>20180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2012-03-15T18:10:00Z</dcterms:created>
  <dc:creator>微软用户</dc:creator>
  <cp:lastModifiedBy>pc</cp:lastModifiedBy>
  <cp:lastPrinted>2012-03-19T09:07:00Z</cp:lastPrinted>
  <dcterms:modified xsi:type="dcterms:W3CDTF">2019-08-25T08:55:53Z</dcterms:modified>
  <dc:title>年金投资管理合同范本</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